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2B4776">
      <w:pPr>
        <w:spacing w:line="360" w:lineRule="auto"/>
        <w:jc w:val="center"/>
        <w:rPr>
          <w:rFonts w:ascii="宋体" w:hAnsi="宋体"/>
          <w:b/>
          <w:bCs/>
          <w:sz w:val="60"/>
          <w:szCs w:val="60"/>
        </w:rPr>
      </w:pPr>
    </w:p>
    <w:p w14:paraId="168A1DD7">
      <w:pPr>
        <w:spacing w:line="360" w:lineRule="auto"/>
        <w:jc w:val="center"/>
        <w:rPr>
          <w:rFonts w:ascii="宋体" w:hAnsi="宋体"/>
          <w:b/>
          <w:bCs/>
          <w:sz w:val="60"/>
          <w:szCs w:val="60"/>
        </w:rPr>
      </w:pPr>
    </w:p>
    <w:p w14:paraId="1000F279">
      <w:pPr>
        <w:spacing w:line="360" w:lineRule="auto"/>
        <w:jc w:val="center"/>
        <w:rPr>
          <w:rFonts w:ascii="宋体" w:hAnsi="宋体"/>
          <w:b/>
          <w:bCs/>
          <w:sz w:val="60"/>
          <w:szCs w:val="60"/>
        </w:rPr>
      </w:pPr>
    </w:p>
    <w:p w14:paraId="018685AF">
      <w:pPr>
        <w:spacing w:line="360" w:lineRule="auto"/>
        <w:jc w:val="center"/>
        <w:rPr>
          <w:rFonts w:ascii="宋体" w:hAnsi="宋体"/>
          <w:b/>
          <w:bCs/>
          <w:sz w:val="60"/>
          <w:szCs w:val="60"/>
        </w:rPr>
      </w:pPr>
    </w:p>
    <w:p w14:paraId="5885D415">
      <w:pPr>
        <w:spacing w:line="360" w:lineRule="auto"/>
        <w:jc w:val="center"/>
        <w:rPr>
          <w:rFonts w:ascii="宋体" w:hAnsi="宋体"/>
          <w:b/>
          <w:bCs/>
          <w:sz w:val="60"/>
          <w:szCs w:val="60"/>
        </w:rPr>
      </w:pPr>
      <w:r>
        <w:rPr>
          <w:rFonts w:ascii="宋体" w:hAnsi="宋体"/>
          <w:b/>
          <w:bCs/>
          <w:sz w:val="60"/>
          <w:szCs w:val="60"/>
        </w:rPr>
        <w:t>竞争性磋商文件</w:t>
      </w:r>
    </w:p>
    <w:p w14:paraId="3B424AB2">
      <w:pPr>
        <w:spacing w:line="360" w:lineRule="auto"/>
        <w:jc w:val="center"/>
        <w:rPr>
          <w:rFonts w:ascii="宋体" w:hAnsi="宋体"/>
          <w:b/>
          <w:bCs/>
          <w:sz w:val="60"/>
          <w:szCs w:val="60"/>
        </w:rPr>
      </w:pPr>
    </w:p>
    <w:p w14:paraId="3F8C9161">
      <w:pPr>
        <w:spacing w:line="360" w:lineRule="auto"/>
        <w:jc w:val="center"/>
        <w:rPr>
          <w:rFonts w:ascii="宋体" w:hAnsi="宋体"/>
          <w:b/>
          <w:bCs/>
          <w:sz w:val="60"/>
          <w:szCs w:val="60"/>
        </w:rPr>
      </w:pPr>
    </w:p>
    <w:p w14:paraId="186BEA71">
      <w:pPr>
        <w:tabs>
          <w:tab w:val="left" w:pos="5609"/>
        </w:tabs>
        <w:spacing w:line="360" w:lineRule="auto"/>
        <w:ind w:left="2622" w:hanging="1690"/>
        <w:jc w:val="left"/>
        <w:rPr>
          <w:rFonts w:hint="eastAsia" w:ascii="宋体" w:hAnsi="宋体" w:eastAsia="宋体"/>
          <w:bCs/>
          <w:sz w:val="32"/>
          <w:szCs w:val="32"/>
          <w:lang w:eastAsia="zh-CN"/>
        </w:rPr>
      </w:pPr>
      <w:r>
        <w:rPr>
          <w:rFonts w:ascii="宋体" w:hAnsi="宋体"/>
          <w:bCs/>
          <w:sz w:val="32"/>
          <w:szCs w:val="32"/>
        </w:rPr>
        <w:t>项目名称：</w:t>
      </w:r>
      <w:r>
        <w:rPr>
          <w:rFonts w:hint="eastAsia" w:ascii="宋体" w:hAnsi="宋体"/>
          <w:bCs/>
          <w:sz w:val="32"/>
          <w:szCs w:val="32"/>
          <w:lang w:eastAsia="zh-CN"/>
        </w:rPr>
        <w:t>常州经济开发区市场监督管理局2026年食品安全抽检</w:t>
      </w:r>
    </w:p>
    <w:p w14:paraId="035BA6E2">
      <w:pPr>
        <w:tabs>
          <w:tab w:val="left" w:pos="3240"/>
          <w:tab w:val="left" w:pos="3420"/>
        </w:tabs>
        <w:spacing w:line="360" w:lineRule="auto"/>
        <w:ind w:left="2622" w:hanging="1690"/>
        <w:jc w:val="left"/>
        <w:rPr>
          <w:rFonts w:ascii="宋体" w:hAnsi="宋体"/>
          <w:bCs/>
          <w:sz w:val="32"/>
          <w:szCs w:val="32"/>
        </w:rPr>
      </w:pPr>
      <w:r>
        <w:rPr>
          <w:rFonts w:ascii="宋体" w:hAnsi="宋体"/>
          <w:bCs/>
          <w:sz w:val="32"/>
          <w:szCs w:val="32"/>
        </w:rPr>
        <w:t>项目编号：</w:t>
      </w:r>
      <w:r>
        <w:rPr>
          <w:rFonts w:hint="eastAsia" w:ascii="宋体" w:hAnsi="宋体"/>
          <w:bCs/>
          <w:sz w:val="32"/>
          <w:szCs w:val="32"/>
        </w:rPr>
        <w:tab/>
      </w:r>
      <w:r>
        <w:rPr>
          <w:rFonts w:hint="eastAsia" w:ascii="宋体" w:hAnsi="宋体"/>
          <w:bCs/>
          <w:sz w:val="32"/>
          <w:szCs w:val="32"/>
        </w:rPr>
        <w:t>JSZC-320412-CZSJ-C2026-0001</w:t>
      </w:r>
    </w:p>
    <w:p w14:paraId="74AC268B">
      <w:pPr>
        <w:tabs>
          <w:tab w:val="left" w:pos="3240"/>
          <w:tab w:val="left" w:pos="3420"/>
        </w:tabs>
        <w:spacing w:line="360" w:lineRule="auto"/>
        <w:ind w:left="2622" w:hanging="1690"/>
        <w:jc w:val="left"/>
        <w:rPr>
          <w:rFonts w:hint="eastAsia" w:ascii="宋体" w:hAnsi="宋体" w:eastAsia="宋体"/>
          <w:bCs/>
          <w:sz w:val="32"/>
          <w:szCs w:val="32"/>
          <w:lang w:eastAsia="zh-CN"/>
        </w:rPr>
      </w:pPr>
      <w:r>
        <w:rPr>
          <w:rFonts w:ascii="宋体" w:hAnsi="宋体"/>
          <w:bCs/>
          <w:sz w:val="32"/>
          <w:szCs w:val="32"/>
        </w:rPr>
        <w:t>采 购 人：</w:t>
      </w:r>
      <w:r>
        <w:rPr>
          <w:rFonts w:hint="eastAsia" w:ascii="宋体" w:hAnsi="宋体"/>
          <w:bCs/>
          <w:sz w:val="32"/>
          <w:szCs w:val="32"/>
          <w:lang w:eastAsia="zh-CN"/>
        </w:rPr>
        <w:t>江苏常州经济开发区市场监督管理局</w:t>
      </w:r>
    </w:p>
    <w:p w14:paraId="44DB9410">
      <w:pPr>
        <w:tabs>
          <w:tab w:val="left" w:pos="3240"/>
          <w:tab w:val="left" w:pos="3420"/>
        </w:tabs>
        <w:spacing w:line="360" w:lineRule="auto"/>
        <w:ind w:left="2622" w:hanging="1690"/>
        <w:jc w:val="left"/>
        <w:rPr>
          <w:rFonts w:hint="eastAsia" w:ascii="宋体" w:hAnsi="宋体" w:eastAsia="宋体"/>
          <w:bCs/>
          <w:sz w:val="32"/>
          <w:szCs w:val="32"/>
          <w:lang w:eastAsia="zh-CN"/>
        </w:rPr>
      </w:pPr>
      <w:r>
        <w:rPr>
          <w:rFonts w:hint="eastAsia" w:ascii="宋体" w:hAnsi="宋体"/>
          <w:bCs/>
          <w:sz w:val="32"/>
          <w:szCs w:val="32"/>
        </w:rPr>
        <w:t>采购</w:t>
      </w:r>
      <w:r>
        <w:rPr>
          <w:rFonts w:ascii="宋体" w:hAnsi="宋体"/>
          <w:bCs/>
          <w:sz w:val="32"/>
          <w:szCs w:val="32"/>
        </w:rPr>
        <w:t>代理机构：</w:t>
      </w:r>
      <w:r>
        <w:rPr>
          <w:rFonts w:hint="eastAsia" w:ascii="宋体" w:hAnsi="宋体"/>
          <w:bCs/>
          <w:sz w:val="32"/>
          <w:szCs w:val="32"/>
          <w:lang w:eastAsia="zh-CN"/>
        </w:rPr>
        <w:t>常州市嘉亿工程咨询有限公司</w:t>
      </w:r>
    </w:p>
    <w:p w14:paraId="6689B1A2">
      <w:pPr>
        <w:tabs>
          <w:tab w:val="left" w:pos="3240"/>
          <w:tab w:val="left" w:pos="3420"/>
        </w:tabs>
        <w:spacing w:line="360" w:lineRule="auto"/>
        <w:jc w:val="center"/>
        <w:rPr>
          <w:rFonts w:ascii="宋体" w:hAnsi="宋体"/>
          <w:bCs/>
          <w:sz w:val="36"/>
          <w:szCs w:val="36"/>
        </w:rPr>
      </w:pPr>
      <w:r>
        <w:rPr>
          <w:rFonts w:hint="eastAsia" w:ascii="宋体" w:hAnsi="宋体"/>
          <w:bCs/>
          <w:sz w:val="36"/>
          <w:szCs w:val="36"/>
        </w:rPr>
        <w:t>2</w:t>
      </w:r>
      <w:r>
        <w:rPr>
          <w:rFonts w:ascii="宋体" w:hAnsi="宋体"/>
          <w:bCs/>
          <w:sz w:val="36"/>
          <w:szCs w:val="36"/>
        </w:rPr>
        <w:t>02</w:t>
      </w:r>
      <w:r>
        <w:rPr>
          <w:rFonts w:hint="eastAsia" w:ascii="宋体" w:hAnsi="宋体"/>
          <w:bCs/>
          <w:sz w:val="36"/>
          <w:szCs w:val="36"/>
          <w:lang w:val="en-US" w:eastAsia="zh-CN"/>
        </w:rPr>
        <w:t>6</w:t>
      </w:r>
      <w:r>
        <w:rPr>
          <w:rFonts w:hint="eastAsia" w:ascii="宋体" w:hAnsi="宋体"/>
          <w:bCs/>
          <w:sz w:val="36"/>
          <w:szCs w:val="36"/>
        </w:rPr>
        <w:t>年</w:t>
      </w:r>
      <w:r>
        <w:rPr>
          <w:rFonts w:hint="eastAsia" w:ascii="宋体" w:hAnsi="宋体"/>
          <w:bCs/>
          <w:sz w:val="36"/>
          <w:szCs w:val="36"/>
          <w:lang w:val="en-US" w:eastAsia="zh-CN"/>
        </w:rPr>
        <w:t>1</w:t>
      </w:r>
      <w:r>
        <w:rPr>
          <w:rFonts w:hint="eastAsia" w:ascii="宋体" w:hAnsi="宋体"/>
          <w:bCs/>
          <w:sz w:val="36"/>
          <w:szCs w:val="36"/>
        </w:rPr>
        <w:t>月</w:t>
      </w:r>
    </w:p>
    <w:p w14:paraId="0EFBD6FC">
      <w:pPr>
        <w:widowControl/>
        <w:spacing w:line="360" w:lineRule="auto"/>
        <w:jc w:val="center"/>
        <w:rPr>
          <w:rFonts w:ascii="宋体" w:hAnsi="宋体"/>
          <w:b/>
          <w:bCs/>
          <w:sz w:val="40"/>
          <w:szCs w:val="40"/>
          <w:lang w:val="zh-CN"/>
        </w:rPr>
      </w:pPr>
      <w:r>
        <w:rPr>
          <w:rFonts w:ascii="宋体" w:hAnsi="宋体"/>
          <w:b/>
          <w:bCs/>
          <w:sz w:val="44"/>
        </w:rPr>
        <w:br w:type="page" w:clear="all"/>
      </w:r>
      <w:r>
        <w:rPr>
          <w:rFonts w:ascii="宋体" w:hAnsi="宋体"/>
          <w:b/>
          <w:bCs/>
          <w:sz w:val="40"/>
          <w:szCs w:val="40"/>
          <w:lang w:val="zh-CN"/>
        </w:rPr>
        <w:t>目录</w:t>
      </w:r>
    </w:p>
    <w:p w14:paraId="13F63DEE">
      <w:pPr>
        <w:rPr>
          <w:rFonts w:ascii="宋体" w:hAnsi="宋体"/>
          <w:lang w:val="zh-CN"/>
        </w:rPr>
      </w:pPr>
    </w:p>
    <w:p w14:paraId="4BD170A8">
      <w:pPr>
        <w:rPr>
          <w:rFonts w:ascii="宋体" w:hAnsi="宋体"/>
          <w:lang w:val="zh-CN"/>
        </w:rPr>
      </w:pPr>
    </w:p>
    <w:p w14:paraId="2557E098">
      <w:pPr>
        <w:pStyle w:val="32"/>
        <w:tabs>
          <w:tab w:val="right" w:leader="dot" w:pos="9072"/>
          <w:tab w:val="clear" w:pos="1050"/>
          <w:tab w:val="clear" w:pos="8937"/>
        </w:tabs>
      </w:pPr>
      <w:r>
        <w:fldChar w:fldCharType="begin"/>
      </w:r>
      <w:r>
        <w:instrText xml:space="preserve"> TOC \o "1-3" \h \z \u </w:instrText>
      </w:r>
      <w:r>
        <w:fldChar w:fldCharType="separate"/>
      </w:r>
      <w:r>
        <w:fldChar w:fldCharType="begin"/>
      </w:r>
      <w:r>
        <w:instrText xml:space="preserve"> HYPERLINK \l _Toc24314 </w:instrText>
      </w:r>
      <w:r>
        <w:fldChar w:fldCharType="separate"/>
      </w:r>
      <w:r>
        <w:rPr>
          <w:rFonts w:ascii="宋体" w:hAnsi="宋体"/>
          <w:szCs w:val="36"/>
        </w:rPr>
        <w:t>第一章   采购邀请</w:t>
      </w:r>
      <w:r>
        <w:tab/>
      </w:r>
      <w:r>
        <w:fldChar w:fldCharType="begin"/>
      </w:r>
      <w:r>
        <w:instrText xml:space="preserve"> PAGEREF _Toc24314 \h </w:instrText>
      </w:r>
      <w:r>
        <w:fldChar w:fldCharType="separate"/>
      </w:r>
      <w:r>
        <w:t>3</w:t>
      </w:r>
      <w:r>
        <w:fldChar w:fldCharType="end"/>
      </w:r>
      <w:r>
        <w:fldChar w:fldCharType="end"/>
      </w:r>
    </w:p>
    <w:p w14:paraId="0F833077">
      <w:pPr>
        <w:pStyle w:val="32"/>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_Toc4438 </w:instrText>
      </w:r>
      <w:r>
        <w:rPr>
          <w:rFonts w:ascii="宋体" w:hAnsi="宋体"/>
          <w:bCs/>
          <w:lang w:val="zh-CN"/>
        </w:rPr>
        <w:fldChar w:fldCharType="separate"/>
      </w:r>
      <w:r>
        <w:rPr>
          <w:rFonts w:ascii="宋体" w:hAnsi="宋体"/>
          <w:szCs w:val="36"/>
        </w:rPr>
        <w:t>第二章   供应商须知</w:t>
      </w:r>
      <w:bookmarkStart w:id="553" w:name="_GoBack"/>
      <w:bookmarkEnd w:id="553"/>
      <w:r>
        <w:tab/>
      </w:r>
      <w:r>
        <w:fldChar w:fldCharType="begin"/>
      </w:r>
      <w:r>
        <w:instrText xml:space="preserve"> PAGEREF _Toc4438 \h </w:instrText>
      </w:r>
      <w:r>
        <w:fldChar w:fldCharType="separate"/>
      </w:r>
      <w:r>
        <w:t>7</w:t>
      </w:r>
      <w:r>
        <w:fldChar w:fldCharType="end"/>
      </w:r>
      <w:r>
        <w:rPr>
          <w:rFonts w:ascii="宋体" w:hAnsi="宋体"/>
          <w:bCs/>
          <w:lang w:val="zh-CN"/>
        </w:rPr>
        <w:fldChar w:fldCharType="end"/>
      </w:r>
    </w:p>
    <w:p w14:paraId="0A23E166">
      <w:pPr>
        <w:pStyle w:val="32"/>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_Toc14712 </w:instrText>
      </w:r>
      <w:r>
        <w:rPr>
          <w:rFonts w:ascii="宋体" w:hAnsi="宋体"/>
          <w:bCs/>
          <w:lang w:val="zh-CN"/>
        </w:rPr>
        <w:fldChar w:fldCharType="separate"/>
      </w:r>
      <w:r>
        <w:rPr>
          <w:rFonts w:ascii="宋体" w:hAnsi="宋体"/>
          <w:szCs w:val="36"/>
        </w:rPr>
        <w:t>第三章   资格审查</w:t>
      </w:r>
      <w:r>
        <w:tab/>
      </w:r>
      <w:r>
        <w:fldChar w:fldCharType="begin"/>
      </w:r>
      <w:r>
        <w:instrText xml:space="preserve"> PAGEREF _Toc14712 \h </w:instrText>
      </w:r>
      <w:r>
        <w:fldChar w:fldCharType="separate"/>
      </w:r>
      <w:r>
        <w:t>24</w:t>
      </w:r>
      <w:r>
        <w:fldChar w:fldCharType="end"/>
      </w:r>
      <w:r>
        <w:rPr>
          <w:rFonts w:ascii="宋体" w:hAnsi="宋体"/>
          <w:bCs/>
          <w:lang w:val="zh-CN"/>
        </w:rPr>
        <w:fldChar w:fldCharType="end"/>
      </w:r>
    </w:p>
    <w:p w14:paraId="3ED51A2B">
      <w:pPr>
        <w:pStyle w:val="32"/>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_Toc24395 </w:instrText>
      </w:r>
      <w:r>
        <w:rPr>
          <w:rFonts w:ascii="宋体" w:hAnsi="宋体"/>
          <w:bCs/>
          <w:lang w:val="zh-CN"/>
        </w:rPr>
        <w:fldChar w:fldCharType="separate"/>
      </w:r>
      <w:r>
        <w:rPr>
          <w:rFonts w:ascii="宋体" w:hAnsi="宋体"/>
          <w:szCs w:val="36"/>
        </w:rPr>
        <w:t>第四章   评审</w:t>
      </w:r>
      <w:r>
        <w:rPr>
          <w:rFonts w:hint="eastAsia" w:ascii="宋体" w:hAnsi="宋体"/>
          <w:szCs w:val="36"/>
        </w:rPr>
        <w:t>程序、评审</w:t>
      </w:r>
      <w:r>
        <w:rPr>
          <w:rFonts w:ascii="宋体" w:hAnsi="宋体"/>
          <w:szCs w:val="36"/>
        </w:rPr>
        <w:t>方法和评审标准</w:t>
      </w:r>
      <w:r>
        <w:tab/>
      </w:r>
      <w:r>
        <w:fldChar w:fldCharType="begin"/>
      </w:r>
      <w:r>
        <w:instrText xml:space="preserve"> PAGEREF _Toc24395 \h </w:instrText>
      </w:r>
      <w:r>
        <w:fldChar w:fldCharType="separate"/>
      </w:r>
      <w:r>
        <w:t>28</w:t>
      </w:r>
      <w:r>
        <w:fldChar w:fldCharType="end"/>
      </w:r>
      <w:r>
        <w:rPr>
          <w:rFonts w:ascii="宋体" w:hAnsi="宋体"/>
          <w:bCs/>
          <w:lang w:val="zh-CN"/>
        </w:rPr>
        <w:fldChar w:fldCharType="end"/>
      </w:r>
    </w:p>
    <w:p w14:paraId="55B52CCD">
      <w:pPr>
        <w:pStyle w:val="32"/>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_Toc27176 </w:instrText>
      </w:r>
      <w:r>
        <w:rPr>
          <w:rFonts w:ascii="宋体" w:hAnsi="宋体"/>
          <w:bCs/>
          <w:lang w:val="zh-CN"/>
        </w:rPr>
        <w:fldChar w:fldCharType="separate"/>
      </w:r>
      <w:r>
        <w:rPr>
          <w:rFonts w:ascii="宋体" w:hAnsi="宋体"/>
          <w:szCs w:val="36"/>
        </w:rPr>
        <w:t>第</w:t>
      </w:r>
      <w:r>
        <w:rPr>
          <w:rFonts w:hint="eastAsia" w:ascii="宋体" w:hAnsi="宋体"/>
          <w:szCs w:val="36"/>
        </w:rPr>
        <w:t>五</w:t>
      </w:r>
      <w:r>
        <w:rPr>
          <w:rFonts w:ascii="宋体" w:hAnsi="宋体"/>
          <w:szCs w:val="36"/>
        </w:rPr>
        <w:t>章   采购需求</w:t>
      </w:r>
      <w:r>
        <w:tab/>
      </w:r>
      <w:r>
        <w:fldChar w:fldCharType="begin"/>
      </w:r>
      <w:r>
        <w:instrText xml:space="preserve"> PAGEREF _Toc27176 \h </w:instrText>
      </w:r>
      <w:r>
        <w:fldChar w:fldCharType="separate"/>
      </w:r>
      <w:r>
        <w:t>38</w:t>
      </w:r>
      <w:r>
        <w:fldChar w:fldCharType="end"/>
      </w:r>
      <w:r>
        <w:rPr>
          <w:rFonts w:ascii="宋体" w:hAnsi="宋体"/>
          <w:bCs/>
          <w:lang w:val="zh-CN"/>
        </w:rPr>
        <w:fldChar w:fldCharType="end"/>
      </w:r>
    </w:p>
    <w:p w14:paraId="5F3D0F8A">
      <w:pPr>
        <w:pStyle w:val="32"/>
        <w:tabs>
          <w:tab w:val="right" w:leader="dot" w:pos="9072"/>
          <w:tab w:val="clear" w:pos="1050"/>
          <w:tab w:val="clear" w:pos="8937"/>
        </w:tabs>
        <w:rPr>
          <w:rFonts w:hint="eastAsia" w:eastAsia="宋体"/>
          <w:lang w:val="en-US" w:eastAsia="zh-CN"/>
        </w:rPr>
      </w:pPr>
      <w:r>
        <w:rPr>
          <w:rFonts w:ascii="宋体" w:hAnsi="宋体"/>
          <w:bCs/>
          <w:lang w:val="zh-CN"/>
        </w:rPr>
        <w:fldChar w:fldCharType="begin"/>
      </w:r>
      <w:r>
        <w:rPr>
          <w:rFonts w:ascii="宋体" w:hAnsi="宋体"/>
          <w:bCs/>
          <w:lang w:val="zh-CN"/>
        </w:rPr>
        <w:instrText xml:space="preserve"> HYPERLINK \l _Toc30578 </w:instrText>
      </w:r>
      <w:r>
        <w:rPr>
          <w:rFonts w:ascii="宋体" w:hAnsi="宋体"/>
          <w:bCs/>
          <w:lang w:val="zh-CN"/>
        </w:rPr>
        <w:fldChar w:fldCharType="separate"/>
      </w:r>
      <w:r>
        <w:rPr>
          <w:rFonts w:ascii="宋体" w:hAnsi="宋体"/>
          <w:szCs w:val="36"/>
        </w:rPr>
        <w:t>第</w:t>
      </w:r>
      <w:r>
        <w:rPr>
          <w:rFonts w:hint="eastAsia" w:ascii="宋体" w:hAnsi="宋体"/>
          <w:szCs w:val="36"/>
        </w:rPr>
        <w:t>六</w:t>
      </w:r>
      <w:r>
        <w:rPr>
          <w:rFonts w:ascii="宋体" w:hAnsi="宋体"/>
          <w:szCs w:val="36"/>
        </w:rPr>
        <w:t xml:space="preserve">章   </w:t>
      </w:r>
      <w:r>
        <w:rPr>
          <w:rFonts w:hint="eastAsia" w:ascii="宋体" w:hAnsi="宋体"/>
          <w:szCs w:val="36"/>
        </w:rPr>
        <w:t>合同草案条款</w:t>
      </w:r>
      <w:r>
        <w:tab/>
      </w:r>
      <w:r>
        <w:rPr>
          <w:rFonts w:hint="eastAsia"/>
          <w:lang w:val="en-US" w:eastAsia="zh-CN"/>
        </w:rPr>
        <w:t>4</w:t>
      </w:r>
      <w:r>
        <w:rPr>
          <w:rFonts w:ascii="宋体" w:hAnsi="宋体"/>
          <w:bCs/>
          <w:lang w:val="zh-CN"/>
        </w:rPr>
        <w:fldChar w:fldCharType="end"/>
      </w:r>
      <w:r>
        <w:rPr>
          <w:rFonts w:hint="eastAsia"/>
          <w:bCs/>
          <w:lang w:val="en-US" w:eastAsia="zh-CN"/>
        </w:rPr>
        <w:t>1</w:t>
      </w:r>
    </w:p>
    <w:p w14:paraId="0DD679A7">
      <w:pPr>
        <w:pStyle w:val="32"/>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_Toc24036 </w:instrText>
      </w:r>
      <w:r>
        <w:rPr>
          <w:rFonts w:ascii="宋体" w:hAnsi="宋体"/>
          <w:bCs/>
          <w:lang w:val="zh-CN"/>
        </w:rPr>
        <w:fldChar w:fldCharType="separate"/>
      </w:r>
      <w:r>
        <w:rPr>
          <w:rFonts w:ascii="宋体" w:hAnsi="宋体"/>
          <w:szCs w:val="36"/>
        </w:rPr>
        <w:t xml:space="preserve">第七章   </w:t>
      </w:r>
      <w:r>
        <w:rPr>
          <w:rFonts w:hint="eastAsia" w:ascii="宋体" w:hAnsi="宋体"/>
          <w:szCs w:val="36"/>
        </w:rPr>
        <w:t>响应文件的组成及提交须知</w:t>
      </w:r>
      <w:r>
        <w:tab/>
      </w:r>
      <w:r>
        <w:fldChar w:fldCharType="begin"/>
      </w:r>
      <w:r>
        <w:instrText xml:space="preserve"> PAGEREF _Toc24036 \h </w:instrText>
      </w:r>
      <w:r>
        <w:fldChar w:fldCharType="separate"/>
      </w:r>
      <w:r>
        <w:t>106</w:t>
      </w:r>
      <w:r>
        <w:fldChar w:fldCharType="end"/>
      </w:r>
      <w:r>
        <w:rPr>
          <w:rFonts w:ascii="宋体" w:hAnsi="宋体"/>
          <w:bCs/>
          <w:lang w:val="zh-CN"/>
        </w:rPr>
        <w:fldChar w:fldCharType="end"/>
      </w:r>
    </w:p>
    <w:p w14:paraId="3D6DC052">
      <w:pPr>
        <w:pStyle w:val="32"/>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_Toc2915 </w:instrText>
      </w:r>
      <w:r>
        <w:rPr>
          <w:rFonts w:ascii="宋体" w:hAnsi="宋体"/>
          <w:bCs/>
          <w:lang w:val="zh-CN"/>
        </w:rPr>
        <w:fldChar w:fldCharType="separate"/>
      </w:r>
      <w:r>
        <w:rPr>
          <w:rFonts w:ascii="宋体" w:hAnsi="宋体"/>
          <w:szCs w:val="36"/>
        </w:rPr>
        <w:t>第八章</w:t>
      </w:r>
      <w:r>
        <w:rPr>
          <w:rFonts w:hint="eastAsia" w:ascii="宋体" w:hAnsi="宋体"/>
          <w:szCs w:val="36"/>
        </w:rPr>
        <w:t xml:space="preserve"> </w:t>
      </w:r>
      <w:r>
        <w:rPr>
          <w:rFonts w:hint="eastAsia"/>
          <w:szCs w:val="36"/>
          <w:lang w:val="en-US" w:eastAsia="zh-CN"/>
        </w:rPr>
        <w:t xml:space="preserve">  </w:t>
      </w:r>
      <w:r>
        <w:rPr>
          <w:rFonts w:hint="eastAsia" w:ascii="宋体" w:hAnsi="宋体"/>
          <w:szCs w:val="36"/>
        </w:rPr>
        <w:t>响应文件格式</w:t>
      </w:r>
      <w:r>
        <w:tab/>
      </w:r>
      <w:r>
        <w:fldChar w:fldCharType="begin"/>
      </w:r>
      <w:r>
        <w:instrText xml:space="preserve"> PAGEREF _Toc2915 \h </w:instrText>
      </w:r>
      <w:r>
        <w:fldChar w:fldCharType="separate"/>
      </w:r>
      <w:r>
        <w:t>109</w:t>
      </w:r>
      <w:r>
        <w:fldChar w:fldCharType="end"/>
      </w:r>
      <w:r>
        <w:rPr>
          <w:rFonts w:ascii="宋体" w:hAnsi="宋体"/>
          <w:bCs/>
          <w:lang w:val="zh-CN"/>
        </w:rPr>
        <w:fldChar w:fldCharType="end"/>
      </w:r>
    </w:p>
    <w:p w14:paraId="7627C746">
      <w:pPr>
        <w:pStyle w:val="32"/>
        <w:tabs>
          <w:tab w:val="right" w:leader="dot" w:pos="9072"/>
          <w:tab w:val="clear" w:pos="1050"/>
          <w:tab w:val="clear" w:pos="8937"/>
        </w:tabs>
      </w:pPr>
    </w:p>
    <w:p w14:paraId="1219518D">
      <w:pPr>
        <w:rPr>
          <w:rFonts w:ascii="宋体" w:hAnsi="宋体"/>
        </w:rPr>
      </w:pPr>
      <w:r>
        <w:rPr>
          <w:rFonts w:ascii="宋体" w:hAnsi="宋体"/>
          <w:bCs/>
          <w:lang w:val="zh-CN"/>
        </w:rPr>
        <w:fldChar w:fldCharType="end"/>
      </w:r>
    </w:p>
    <w:p w14:paraId="6B40B32E">
      <w:pPr>
        <w:pStyle w:val="32"/>
        <w:spacing w:line="360" w:lineRule="auto"/>
        <w:rPr>
          <w:b w:val="0"/>
        </w:rPr>
      </w:pPr>
    </w:p>
    <w:p w14:paraId="1F9996C1">
      <w:pPr>
        <w:spacing w:line="360" w:lineRule="auto"/>
        <w:jc w:val="center"/>
        <w:outlineLvl w:val="0"/>
        <w:rPr>
          <w:rFonts w:ascii="宋体" w:hAnsi="宋体"/>
          <w:bCs/>
          <w:sz w:val="36"/>
          <w:szCs w:val="36"/>
        </w:rPr>
      </w:pPr>
      <w:r>
        <w:rPr>
          <w:rFonts w:ascii="宋体" w:hAnsi="宋体"/>
          <w:sz w:val="36"/>
          <w:szCs w:val="36"/>
        </w:rPr>
        <w:br w:type="page" w:clear="all"/>
      </w:r>
      <w:bookmarkStart w:id="0" w:name="_Toc24314"/>
      <w:bookmarkStart w:id="1" w:name="_Toc104818925"/>
      <w:r>
        <w:rPr>
          <w:rFonts w:ascii="宋体" w:hAnsi="宋体"/>
          <w:b/>
          <w:sz w:val="36"/>
          <w:szCs w:val="36"/>
        </w:rPr>
        <w:t>第一章   采购邀请</w:t>
      </w:r>
      <w:bookmarkEnd w:id="0"/>
      <w:bookmarkEnd w:id="1"/>
      <w:bookmarkStart w:id="2" w:name="_Toc35393790"/>
      <w:bookmarkStart w:id="3" w:name="_Toc28359002"/>
      <w:bookmarkStart w:id="4" w:name="_Toc35393621"/>
      <w:bookmarkStart w:id="5" w:name="_Toc28359079"/>
      <w:bookmarkStart w:id="6" w:name="_Hlk24379207"/>
    </w:p>
    <w:p w14:paraId="0A2CA088">
      <w:pPr>
        <w:pBdr>
          <w:top w:val="single" w:color="auto" w:sz="4" w:space="1"/>
          <w:left w:val="single" w:color="auto" w:sz="4" w:space="4"/>
          <w:bottom w:val="single" w:color="auto" w:sz="4" w:space="1"/>
          <w:right w:val="single" w:color="auto" w:sz="4" w:space="4"/>
        </w:pBdr>
        <w:spacing w:line="360" w:lineRule="auto"/>
        <w:ind w:firstLine="480"/>
        <w:jc w:val="center"/>
        <w:rPr>
          <w:rFonts w:ascii="宋体" w:hAnsi="宋体"/>
          <w:sz w:val="24"/>
        </w:rPr>
      </w:pPr>
      <w:r>
        <w:rPr>
          <w:rFonts w:hint="eastAsia" w:ascii="宋体" w:hAnsi="宋体"/>
          <w:sz w:val="24"/>
        </w:rPr>
        <w:t>项目概况</w:t>
      </w:r>
    </w:p>
    <w:p w14:paraId="72AF6499">
      <w:pPr>
        <w:pBdr>
          <w:top w:val="single" w:color="auto" w:sz="4" w:space="1"/>
          <w:left w:val="single" w:color="auto" w:sz="4" w:space="4"/>
          <w:bottom w:val="single" w:color="auto" w:sz="4" w:space="1"/>
          <w:right w:val="single" w:color="auto" w:sz="4" w:space="4"/>
        </w:pBdr>
        <w:spacing w:line="360" w:lineRule="auto"/>
        <w:ind w:firstLine="480"/>
        <w:rPr>
          <w:rFonts w:ascii="宋体" w:hAnsi="宋体"/>
          <w:sz w:val="24"/>
        </w:rPr>
      </w:pPr>
      <w:r>
        <w:rPr>
          <w:rFonts w:hint="eastAsia" w:ascii="宋体" w:hAnsi="宋体"/>
          <w:sz w:val="24"/>
          <w:u w:val="single"/>
        </w:rPr>
        <w:t xml:space="preserve"> </w:t>
      </w:r>
      <w:r>
        <w:rPr>
          <w:rFonts w:hint="eastAsia" w:ascii="宋体" w:hAnsi="宋体"/>
          <w:sz w:val="24"/>
          <w:u w:val="single"/>
          <w:lang w:eastAsia="zh-CN"/>
        </w:rPr>
        <w:t>常州经济开发区市场监督管理局2026年食品安全抽检</w:t>
      </w:r>
      <w:r>
        <w:rPr>
          <w:rFonts w:hint="eastAsia" w:ascii="宋体" w:hAnsi="宋体"/>
          <w:sz w:val="24"/>
        </w:rPr>
        <w:t>竞争性磋商项目的潜在供应商可在</w:t>
      </w:r>
      <w:r>
        <w:rPr>
          <w:rFonts w:hint="eastAsia" w:ascii="宋体" w:hAnsi="宋体"/>
          <w:sz w:val="24"/>
          <w:u w:val="single"/>
        </w:rPr>
        <w:t>“</w:t>
      </w:r>
      <w:r>
        <w:rPr>
          <w:rFonts w:hint="eastAsia" w:ascii="宋体" w:hAnsi="宋体"/>
          <w:b/>
          <w:bCs/>
          <w:sz w:val="24"/>
          <w:u w:val="single"/>
        </w:rPr>
        <w:t>苏采云</w:t>
      </w:r>
      <w:r>
        <w:rPr>
          <w:rFonts w:hint="eastAsia" w:ascii="宋体" w:hAnsi="宋体"/>
          <w:sz w:val="24"/>
          <w:u w:val="single"/>
        </w:rPr>
        <w:t>”平台自行免费下载</w:t>
      </w:r>
      <w:r>
        <w:rPr>
          <w:rFonts w:hint="eastAsia" w:ascii="宋体" w:hAnsi="宋体"/>
          <w:sz w:val="24"/>
        </w:rPr>
        <w:t>磋商文件，并于</w:t>
      </w:r>
      <w:r>
        <w:rPr>
          <w:rFonts w:ascii="宋体" w:hAnsi="宋体"/>
          <w:sz w:val="24"/>
          <w:u w:val="single"/>
        </w:rPr>
        <w:t>202</w:t>
      </w:r>
      <w:r>
        <w:rPr>
          <w:rFonts w:hint="eastAsia" w:ascii="宋体" w:hAnsi="宋体"/>
          <w:sz w:val="24"/>
          <w:u w:val="single"/>
          <w:lang w:val="en-US" w:eastAsia="zh-CN"/>
        </w:rPr>
        <w:t>6</w:t>
      </w:r>
      <w:r>
        <w:rPr>
          <w:rFonts w:hint="eastAsia" w:ascii="宋体" w:hAnsi="宋体"/>
          <w:bCs/>
          <w:sz w:val="24"/>
          <w:u w:val="single"/>
        </w:rPr>
        <w:t>年</w:t>
      </w:r>
      <w:r>
        <w:rPr>
          <w:rFonts w:hint="eastAsia" w:ascii="宋体" w:hAnsi="宋体"/>
          <w:bCs/>
          <w:sz w:val="24"/>
          <w:u w:val="single"/>
          <w:lang w:val="en-US" w:eastAsia="zh-CN"/>
        </w:rPr>
        <w:t>2</w:t>
      </w:r>
      <w:r>
        <w:rPr>
          <w:rFonts w:hint="eastAsia" w:ascii="宋体" w:hAnsi="宋体"/>
          <w:bCs/>
          <w:sz w:val="24"/>
          <w:u w:val="single"/>
        </w:rPr>
        <w:t>月</w:t>
      </w:r>
      <w:r>
        <w:rPr>
          <w:rFonts w:hint="eastAsia" w:ascii="宋体" w:hAnsi="宋体"/>
          <w:bCs/>
          <w:sz w:val="24"/>
          <w:u w:val="single"/>
          <w:lang w:val="en-US" w:eastAsia="zh-CN"/>
        </w:rPr>
        <w:t>9</w:t>
      </w:r>
      <w:r>
        <w:rPr>
          <w:rFonts w:hint="eastAsia" w:ascii="宋体" w:hAnsi="宋体"/>
          <w:bCs/>
          <w:sz w:val="24"/>
          <w:u w:val="single"/>
        </w:rPr>
        <w:t>日</w:t>
      </w:r>
      <w:r>
        <w:rPr>
          <w:rFonts w:hint="eastAsia" w:ascii="宋体" w:hAnsi="宋体"/>
          <w:bCs/>
          <w:sz w:val="24"/>
          <w:u w:val="single"/>
          <w:lang w:val="en-US" w:eastAsia="zh-CN"/>
        </w:rPr>
        <w:t>9</w:t>
      </w:r>
      <w:r>
        <w:rPr>
          <w:rFonts w:hint="eastAsia" w:ascii="宋体" w:hAnsi="宋体"/>
          <w:bCs/>
          <w:sz w:val="24"/>
          <w:u w:val="single"/>
        </w:rPr>
        <w:t>点</w:t>
      </w:r>
      <w:r>
        <w:rPr>
          <w:rFonts w:hint="eastAsia" w:ascii="宋体" w:hAnsi="宋体"/>
          <w:bCs/>
          <w:sz w:val="24"/>
          <w:u w:val="single"/>
          <w:lang w:val="en-US" w:eastAsia="zh-CN"/>
        </w:rPr>
        <w:t>30</w:t>
      </w:r>
      <w:r>
        <w:rPr>
          <w:rFonts w:hint="eastAsia" w:ascii="宋体" w:hAnsi="宋体"/>
          <w:bCs/>
          <w:sz w:val="24"/>
          <w:u w:val="single"/>
        </w:rPr>
        <w:t>分</w:t>
      </w:r>
      <w:r>
        <w:rPr>
          <w:rFonts w:hint="eastAsia" w:ascii="宋体" w:hAnsi="宋体"/>
          <w:bCs/>
          <w:sz w:val="24"/>
          <w:u w:val="none"/>
        </w:rPr>
        <w:t>（</w:t>
      </w:r>
      <w:r>
        <w:rPr>
          <w:rFonts w:hint="eastAsia" w:ascii="宋体" w:hAnsi="宋体"/>
          <w:bCs/>
          <w:sz w:val="24"/>
        </w:rPr>
        <w:t>北京时间）前递交响应文件</w:t>
      </w:r>
      <w:r>
        <w:rPr>
          <w:rFonts w:hint="eastAsia" w:ascii="宋体" w:hAnsi="宋体"/>
          <w:sz w:val="24"/>
        </w:rPr>
        <w:t>。</w:t>
      </w:r>
    </w:p>
    <w:p w14:paraId="6EA937ED">
      <w:pPr>
        <w:pStyle w:val="3"/>
        <w:spacing w:before="0" w:line="360" w:lineRule="auto"/>
        <w:ind w:firstLine="482"/>
        <w:jc w:val="left"/>
        <w:rPr>
          <w:rFonts w:ascii="宋体" w:hAnsi="宋体" w:eastAsia="宋体"/>
          <w:sz w:val="24"/>
          <w:szCs w:val="24"/>
        </w:rPr>
      </w:pPr>
      <w:bookmarkStart w:id="7" w:name="_Toc160609020"/>
      <w:bookmarkStart w:id="8" w:name="_Toc11367"/>
      <w:bookmarkStart w:id="9" w:name="_Toc152678614"/>
      <w:bookmarkStart w:id="10" w:name="_Toc152678533"/>
      <w:bookmarkStart w:id="11" w:name="_Toc18614"/>
      <w:r>
        <w:rPr>
          <w:rFonts w:ascii="宋体" w:hAnsi="宋体" w:eastAsia="宋体"/>
          <w:sz w:val="24"/>
          <w:szCs w:val="24"/>
        </w:rPr>
        <w:t>一、项目基本情况</w:t>
      </w:r>
      <w:bookmarkEnd w:id="2"/>
      <w:bookmarkEnd w:id="3"/>
      <w:bookmarkEnd w:id="4"/>
      <w:bookmarkEnd w:id="5"/>
      <w:bookmarkEnd w:id="7"/>
      <w:bookmarkEnd w:id="8"/>
      <w:bookmarkEnd w:id="9"/>
      <w:bookmarkEnd w:id="10"/>
      <w:bookmarkEnd w:id="11"/>
    </w:p>
    <w:p w14:paraId="59D663AA">
      <w:pPr>
        <w:spacing w:line="360" w:lineRule="auto"/>
        <w:ind w:firstLine="480"/>
        <w:rPr>
          <w:rFonts w:ascii="宋体" w:hAnsi="宋体"/>
          <w:sz w:val="24"/>
        </w:rPr>
      </w:pPr>
      <w:r>
        <w:rPr>
          <w:rFonts w:ascii="宋体" w:hAnsi="宋体"/>
          <w:sz w:val="24"/>
        </w:rPr>
        <w:t>1.</w:t>
      </w:r>
      <w:r>
        <w:rPr>
          <w:rFonts w:hint="eastAsia" w:ascii="宋体" w:hAnsi="宋体"/>
          <w:sz w:val="24"/>
          <w:lang w:eastAsia="zh-CN"/>
        </w:rPr>
        <w:t>项目编号：JSZC-320412-CZSJ-C2026-0001</w:t>
      </w:r>
    </w:p>
    <w:p w14:paraId="1E384C54">
      <w:pPr>
        <w:spacing w:line="360" w:lineRule="auto"/>
        <w:ind w:firstLine="480"/>
        <w:rPr>
          <w:rFonts w:hint="eastAsia" w:ascii="宋体" w:hAnsi="宋体"/>
          <w:sz w:val="24"/>
          <w:lang w:eastAsia="zh-CN"/>
        </w:rPr>
      </w:pPr>
      <w:bookmarkStart w:id="12" w:name="_Hlk178246637"/>
      <w:r>
        <w:rPr>
          <w:rFonts w:ascii="宋体" w:hAnsi="宋体"/>
          <w:sz w:val="24"/>
        </w:rPr>
        <w:t>2.项目名称</w:t>
      </w:r>
      <w:r>
        <w:rPr>
          <w:rFonts w:hint="eastAsia" w:ascii="宋体" w:hAnsi="宋体"/>
          <w:sz w:val="24"/>
        </w:rPr>
        <w:t>：</w:t>
      </w:r>
      <w:r>
        <w:rPr>
          <w:rFonts w:hint="eastAsia" w:ascii="宋体" w:hAnsi="宋体"/>
          <w:sz w:val="24"/>
          <w:lang w:eastAsia="zh-CN"/>
        </w:rPr>
        <w:t>常州经济开发区市场监督管理局2026年食品安全抽检</w:t>
      </w:r>
    </w:p>
    <w:p w14:paraId="13653A38">
      <w:pPr>
        <w:spacing w:line="360" w:lineRule="auto"/>
        <w:ind w:firstLine="480"/>
        <w:rPr>
          <w:rFonts w:ascii="宋体" w:hAnsi="宋体"/>
          <w:sz w:val="24"/>
        </w:rPr>
      </w:pPr>
      <w:r>
        <w:rPr>
          <w:rFonts w:hint="eastAsia" w:ascii="宋体" w:hAnsi="宋体"/>
          <w:sz w:val="24"/>
        </w:rPr>
        <w:t>3.</w:t>
      </w:r>
      <w:bookmarkEnd w:id="6"/>
      <w:r>
        <w:rPr>
          <w:rFonts w:hint="eastAsia" w:ascii="宋体" w:hAnsi="宋体"/>
          <w:sz w:val="24"/>
        </w:rPr>
        <w:t>项目预算金额：</w:t>
      </w:r>
      <w:bookmarkStart w:id="13" w:name="_Toc35393622"/>
      <w:bookmarkStart w:id="14" w:name="_Toc28359080"/>
      <w:bookmarkStart w:id="15" w:name="_Toc28359003"/>
      <w:bookmarkStart w:id="16" w:name="_Toc35393791"/>
      <w:r>
        <w:rPr>
          <w:rFonts w:hint="eastAsia" w:ascii="宋体" w:hAnsi="宋体"/>
          <w:sz w:val="24"/>
          <w:lang w:val="en-US" w:eastAsia="zh-CN"/>
        </w:rPr>
        <w:t>264.88</w:t>
      </w:r>
      <w:r>
        <w:rPr>
          <w:rFonts w:hint="eastAsia" w:ascii="宋体" w:hAnsi="宋体"/>
          <w:sz w:val="24"/>
        </w:rPr>
        <w:t>万元</w:t>
      </w:r>
      <w:r>
        <w:rPr>
          <w:rFonts w:hint="eastAsia" w:ascii="宋体" w:hAnsi="宋体"/>
          <w:sz w:val="24"/>
          <w:lang w:eastAsia="zh-CN"/>
        </w:rPr>
        <w:t>、</w:t>
      </w:r>
      <w:r>
        <w:rPr>
          <w:rFonts w:ascii="宋体" w:hAnsi="宋体"/>
          <w:sz w:val="24"/>
        </w:rPr>
        <w:t>项目最高限价</w:t>
      </w:r>
      <w:r>
        <w:rPr>
          <w:rFonts w:hint="eastAsia" w:ascii="宋体" w:hAnsi="宋体"/>
          <w:sz w:val="24"/>
        </w:rPr>
        <w:t>：《市场监管部门食品安全抽检监测项目检验费用参考表》收费标准的100%</w:t>
      </w:r>
      <w:r>
        <w:rPr>
          <w:rFonts w:ascii="宋体" w:hAnsi="宋体"/>
          <w:sz w:val="24"/>
        </w:rPr>
        <w:t xml:space="preserve"> </w:t>
      </w:r>
    </w:p>
    <w:p w14:paraId="0A904081">
      <w:pPr>
        <w:spacing w:line="360" w:lineRule="auto"/>
        <w:ind w:firstLine="480"/>
        <w:rPr>
          <w:rFonts w:hint="eastAsia" w:ascii="宋体" w:hAnsi="宋体" w:cs="宋体"/>
          <w:b/>
          <w:bCs/>
          <w:color w:val="000000"/>
          <w:sz w:val="24"/>
        </w:rPr>
      </w:pPr>
      <w:r>
        <w:rPr>
          <w:rFonts w:hint="eastAsia" w:ascii="宋体" w:hAnsi="宋体"/>
          <w:sz w:val="24"/>
          <w:lang w:val="en-US" w:eastAsia="zh-CN"/>
        </w:rPr>
        <w:t>4.</w:t>
      </w:r>
      <w:r>
        <w:rPr>
          <w:rFonts w:ascii="宋体" w:hAnsi="宋体"/>
          <w:sz w:val="24"/>
        </w:rPr>
        <w:t>采</w:t>
      </w:r>
      <w:r>
        <w:rPr>
          <w:sz w:val="24"/>
        </w:rPr>
        <w:t>购需求：</w:t>
      </w:r>
      <w:r>
        <w:rPr>
          <w:rFonts w:hint="eastAsia"/>
          <w:sz w:val="24"/>
        </w:rPr>
        <w:t>本</w:t>
      </w:r>
      <w:r>
        <w:rPr>
          <w:rFonts w:hint="eastAsia" w:ascii="宋体" w:hAnsi="宋体"/>
          <w:sz w:val="24"/>
          <w:lang w:eastAsia="zh-CN"/>
        </w:rPr>
        <w:t>项目服务内容包括2026年针对食品生产环节、食品流通环节、餐饮环节和食用农产品开展约2520批次抽检及对经开区食品生产经营环节开展</w:t>
      </w:r>
      <w:r>
        <w:rPr>
          <w:rFonts w:hint="eastAsia" w:ascii="宋体" w:hAnsi="宋体"/>
          <w:sz w:val="24"/>
          <w:lang w:val="en-US" w:eastAsia="zh-CN"/>
        </w:rPr>
        <w:t>约560批次</w:t>
      </w:r>
      <w:r>
        <w:rPr>
          <w:rFonts w:hint="eastAsia" w:ascii="宋体" w:hAnsi="宋体"/>
          <w:sz w:val="24"/>
          <w:lang w:eastAsia="zh-CN"/>
        </w:rPr>
        <w:t>风险评估、隐患排查、应急检测。</w:t>
      </w:r>
    </w:p>
    <w:tbl>
      <w:tblPr>
        <w:tblStyle w:val="4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899"/>
        <w:gridCol w:w="1786"/>
        <w:gridCol w:w="4833"/>
      </w:tblGrid>
      <w:tr w14:paraId="6873E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1" w:type="pct"/>
            <w:noWrap w:val="0"/>
            <w:vAlign w:val="center"/>
          </w:tcPr>
          <w:p w14:paraId="5EF19F72">
            <w:pPr>
              <w:jc w:val="center"/>
              <w:rPr>
                <w:sz w:val="24"/>
              </w:rPr>
            </w:pPr>
            <w:r>
              <w:rPr>
                <w:sz w:val="24"/>
              </w:rPr>
              <w:t>包号</w:t>
            </w:r>
          </w:p>
        </w:tc>
        <w:tc>
          <w:tcPr>
            <w:tcW w:w="1023" w:type="pct"/>
            <w:noWrap w:val="0"/>
            <w:vAlign w:val="center"/>
          </w:tcPr>
          <w:p w14:paraId="6E8AE311">
            <w:pPr>
              <w:jc w:val="center"/>
              <w:rPr>
                <w:rFonts w:hint="eastAsia"/>
                <w:sz w:val="24"/>
              </w:rPr>
            </w:pPr>
            <w:r>
              <w:rPr>
                <w:rFonts w:hint="eastAsia"/>
                <w:sz w:val="24"/>
              </w:rPr>
              <w:t>抽检批次</w:t>
            </w:r>
          </w:p>
          <w:p w14:paraId="3A72A40F">
            <w:pPr>
              <w:jc w:val="center"/>
              <w:rPr>
                <w:sz w:val="24"/>
              </w:rPr>
            </w:pPr>
            <w:r>
              <w:rPr>
                <w:rFonts w:hint="eastAsia"/>
                <w:sz w:val="24"/>
              </w:rPr>
              <w:t>（暂定数量）</w:t>
            </w:r>
          </w:p>
        </w:tc>
        <w:tc>
          <w:tcPr>
            <w:tcW w:w="962" w:type="pct"/>
            <w:noWrap w:val="0"/>
            <w:vAlign w:val="center"/>
          </w:tcPr>
          <w:p w14:paraId="747CC7A2">
            <w:pPr>
              <w:jc w:val="center"/>
              <w:rPr>
                <w:sz w:val="24"/>
              </w:rPr>
            </w:pPr>
            <w:r>
              <w:rPr>
                <w:rFonts w:hint="eastAsia" w:ascii="宋体" w:hAnsi="宋体" w:eastAsia="宋体" w:cs="宋体"/>
                <w:bCs/>
                <w:color w:val="000000"/>
                <w:sz w:val="24"/>
                <w:szCs w:val="24"/>
                <w:highlight w:val="none"/>
              </w:rPr>
              <w:t>采购</w:t>
            </w:r>
            <w:r>
              <w:rPr>
                <w:rFonts w:hint="eastAsia" w:ascii="宋体" w:hAnsi="宋体" w:eastAsia="宋体" w:cs="宋体"/>
                <w:bCs/>
                <w:color w:val="000000"/>
                <w:sz w:val="24"/>
                <w:szCs w:val="24"/>
                <w:highlight w:val="none"/>
                <w:lang w:val="en-US" w:eastAsia="zh-CN"/>
              </w:rPr>
              <w:t>包</w:t>
            </w:r>
            <w:r>
              <w:rPr>
                <w:rFonts w:hint="eastAsia" w:ascii="宋体" w:hAnsi="宋体" w:eastAsia="宋体" w:cs="宋体"/>
                <w:bCs/>
                <w:color w:val="000000"/>
                <w:sz w:val="24"/>
                <w:szCs w:val="24"/>
                <w:highlight w:val="none"/>
              </w:rPr>
              <w:t>预算金额</w:t>
            </w:r>
            <w:r>
              <w:rPr>
                <w:sz w:val="24"/>
              </w:rPr>
              <w:t>（万元）</w:t>
            </w:r>
          </w:p>
        </w:tc>
        <w:tc>
          <w:tcPr>
            <w:tcW w:w="2603" w:type="pct"/>
            <w:noWrap w:val="0"/>
            <w:vAlign w:val="center"/>
          </w:tcPr>
          <w:p w14:paraId="19EA0171">
            <w:pPr>
              <w:jc w:val="center"/>
              <w:rPr>
                <w:rFonts w:hint="eastAsia" w:eastAsia="宋体"/>
                <w:sz w:val="24"/>
                <w:lang w:eastAsia="zh-CN"/>
              </w:rPr>
            </w:pPr>
            <w:r>
              <w:rPr>
                <w:rFonts w:hint="eastAsia"/>
                <w:sz w:val="24"/>
                <w:lang w:val="en-US" w:eastAsia="zh-CN"/>
              </w:rPr>
              <w:t>备注</w:t>
            </w:r>
          </w:p>
        </w:tc>
      </w:tr>
      <w:tr w14:paraId="1195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1" w:type="pct"/>
            <w:noWrap w:val="0"/>
            <w:vAlign w:val="center"/>
          </w:tcPr>
          <w:p w14:paraId="00308A24">
            <w:pPr>
              <w:jc w:val="center"/>
              <w:rPr>
                <w:sz w:val="24"/>
              </w:rPr>
            </w:pPr>
            <w:r>
              <w:rPr>
                <w:sz w:val="24"/>
              </w:rPr>
              <w:t>1</w:t>
            </w:r>
          </w:p>
        </w:tc>
        <w:tc>
          <w:tcPr>
            <w:tcW w:w="1023" w:type="pct"/>
            <w:noWrap w:val="0"/>
            <w:vAlign w:val="center"/>
          </w:tcPr>
          <w:p w14:paraId="37E7B391">
            <w:pPr>
              <w:jc w:val="center"/>
              <w:rPr>
                <w:sz w:val="24"/>
              </w:rPr>
            </w:pPr>
            <w:r>
              <w:rPr>
                <w:rFonts w:hint="eastAsia"/>
                <w:sz w:val="24"/>
                <w:lang w:val="en-US" w:eastAsia="zh-CN"/>
              </w:rPr>
              <w:t>100</w:t>
            </w:r>
            <w:r>
              <w:rPr>
                <w:rFonts w:hint="eastAsia"/>
                <w:sz w:val="24"/>
              </w:rPr>
              <w:t>批次</w:t>
            </w:r>
          </w:p>
        </w:tc>
        <w:tc>
          <w:tcPr>
            <w:tcW w:w="962" w:type="pct"/>
            <w:noWrap w:val="0"/>
            <w:vAlign w:val="center"/>
          </w:tcPr>
          <w:p w14:paraId="1BA68AC7">
            <w:pPr>
              <w:jc w:val="center"/>
              <w:rPr>
                <w:rFonts w:hint="default" w:eastAsia="宋体"/>
                <w:sz w:val="24"/>
                <w:lang w:val="en-US" w:eastAsia="zh-CN"/>
              </w:rPr>
            </w:pPr>
            <w:r>
              <w:rPr>
                <w:rFonts w:hint="eastAsia"/>
                <w:sz w:val="24"/>
                <w:lang w:val="en-US" w:eastAsia="zh-CN"/>
              </w:rPr>
              <w:t>8.6</w:t>
            </w:r>
          </w:p>
        </w:tc>
        <w:tc>
          <w:tcPr>
            <w:tcW w:w="2603" w:type="pct"/>
            <w:vMerge w:val="restart"/>
            <w:noWrap w:val="0"/>
            <w:vAlign w:val="center"/>
          </w:tcPr>
          <w:p w14:paraId="6FA9C626">
            <w:pPr>
              <w:jc w:val="left"/>
              <w:rPr>
                <w:rFonts w:hint="eastAsia"/>
                <w:sz w:val="24"/>
              </w:rPr>
            </w:pPr>
            <w:r>
              <w:rPr>
                <w:rFonts w:hint="eastAsia" w:ascii="宋体" w:hAnsi="宋体"/>
                <w:sz w:val="24"/>
                <w:lang w:val="en-US" w:eastAsia="zh-CN"/>
              </w:rPr>
              <w:t>最终结算金额不超过86</w:t>
            </w:r>
            <w:r>
              <w:rPr>
                <w:rFonts w:hint="eastAsia" w:ascii="宋体" w:hAnsi="宋体"/>
                <w:sz w:val="24"/>
                <w:lang w:eastAsia="zh-CN"/>
              </w:rPr>
              <w:t>0元/批次</w:t>
            </w:r>
          </w:p>
        </w:tc>
      </w:tr>
      <w:tr w14:paraId="11CEA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1" w:type="pct"/>
            <w:noWrap w:val="0"/>
            <w:vAlign w:val="center"/>
          </w:tcPr>
          <w:p w14:paraId="3E9816E9">
            <w:pPr>
              <w:jc w:val="center"/>
              <w:rPr>
                <w:sz w:val="24"/>
              </w:rPr>
            </w:pPr>
            <w:r>
              <w:rPr>
                <w:sz w:val="24"/>
              </w:rPr>
              <w:t>2</w:t>
            </w:r>
          </w:p>
        </w:tc>
        <w:tc>
          <w:tcPr>
            <w:tcW w:w="1023" w:type="pct"/>
            <w:noWrap w:val="0"/>
            <w:vAlign w:val="center"/>
          </w:tcPr>
          <w:p w14:paraId="48FA8E83">
            <w:pPr>
              <w:jc w:val="center"/>
              <w:rPr>
                <w:rFonts w:hint="eastAsia"/>
                <w:sz w:val="24"/>
              </w:rPr>
            </w:pPr>
            <w:r>
              <w:rPr>
                <w:rFonts w:hint="eastAsia"/>
                <w:sz w:val="24"/>
                <w:lang w:val="en-US" w:eastAsia="zh-CN"/>
              </w:rPr>
              <w:t>400</w:t>
            </w:r>
            <w:r>
              <w:rPr>
                <w:rFonts w:hint="eastAsia"/>
                <w:sz w:val="24"/>
              </w:rPr>
              <w:t>批次</w:t>
            </w:r>
          </w:p>
        </w:tc>
        <w:tc>
          <w:tcPr>
            <w:tcW w:w="962" w:type="pct"/>
            <w:noWrap w:val="0"/>
            <w:vAlign w:val="center"/>
          </w:tcPr>
          <w:p w14:paraId="6C453E9F">
            <w:pPr>
              <w:jc w:val="center"/>
              <w:rPr>
                <w:rFonts w:hint="default" w:eastAsia="宋体"/>
                <w:sz w:val="24"/>
                <w:lang w:val="en-US" w:eastAsia="zh-CN"/>
              </w:rPr>
            </w:pPr>
            <w:r>
              <w:rPr>
                <w:rFonts w:hint="eastAsia"/>
                <w:sz w:val="24"/>
                <w:lang w:val="en-US" w:eastAsia="zh-CN"/>
              </w:rPr>
              <w:t>34.4</w:t>
            </w:r>
          </w:p>
        </w:tc>
        <w:tc>
          <w:tcPr>
            <w:tcW w:w="2603" w:type="pct"/>
            <w:vMerge w:val="continue"/>
            <w:noWrap w:val="0"/>
            <w:vAlign w:val="center"/>
          </w:tcPr>
          <w:p w14:paraId="4C17F380">
            <w:pPr>
              <w:jc w:val="center"/>
              <w:rPr>
                <w:sz w:val="24"/>
              </w:rPr>
            </w:pPr>
          </w:p>
        </w:tc>
      </w:tr>
      <w:tr w14:paraId="0161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1" w:type="pct"/>
            <w:noWrap w:val="0"/>
            <w:vAlign w:val="center"/>
          </w:tcPr>
          <w:p w14:paraId="7F43B3D6">
            <w:pPr>
              <w:jc w:val="center"/>
              <w:rPr>
                <w:rFonts w:hint="eastAsia"/>
                <w:sz w:val="24"/>
              </w:rPr>
            </w:pPr>
            <w:r>
              <w:rPr>
                <w:sz w:val="24"/>
              </w:rPr>
              <w:t>3</w:t>
            </w:r>
          </w:p>
        </w:tc>
        <w:tc>
          <w:tcPr>
            <w:tcW w:w="1023" w:type="pct"/>
            <w:noWrap w:val="0"/>
            <w:vAlign w:val="center"/>
          </w:tcPr>
          <w:p w14:paraId="6D4AF674">
            <w:pPr>
              <w:jc w:val="center"/>
              <w:rPr>
                <w:rFonts w:hint="eastAsia"/>
                <w:sz w:val="24"/>
              </w:rPr>
            </w:pPr>
            <w:r>
              <w:rPr>
                <w:rFonts w:hint="eastAsia"/>
                <w:sz w:val="24"/>
                <w:lang w:val="en-US" w:eastAsia="zh-CN"/>
              </w:rPr>
              <w:t>4</w:t>
            </w:r>
            <w:r>
              <w:rPr>
                <w:sz w:val="24"/>
              </w:rPr>
              <w:t>00</w:t>
            </w:r>
            <w:r>
              <w:rPr>
                <w:rFonts w:hint="eastAsia"/>
                <w:sz w:val="24"/>
              </w:rPr>
              <w:t>批次</w:t>
            </w:r>
          </w:p>
        </w:tc>
        <w:tc>
          <w:tcPr>
            <w:tcW w:w="962" w:type="pct"/>
            <w:noWrap w:val="0"/>
            <w:vAlign w:val="center"/>
          </w:tcPr>
          <w:p w14:paraId="1D2362D4">
            <w:pPr>
              <w:jc w:val="center"/>
              <w:rPr>
                <w:sz w:val="24"/>
              </w:rPr>
            </w:pPr>
            <w:r>
              <w:rPr>
                <w:rFonts w:hint="eastAsia"/>
                <w:sz w:val="24"/>
                <w:lang w:val="en-US" w:eastAsia="zh-CN"/>
              </w:rPr>
              <w:t>34.4</w:t>
            </w:r>
          </w:p>
        </w:tc>
        <w:tc>
          <w:tcPr>
            <w:tcW w:w="2603" w:type="pct"/>
            <w:vMerge w:val="continue"/>
            <w:noWrap w:val="0"/>
            <w:vAlign w:val="center"/>
          </w:tcPr>
          <w:p w14:paraId="582F114D">
            <w:pPr>
              <w:jc w:val="center"/>
              <w:rPr>
                <w:sz w:val="24"/>
              </w:rPr>
            </w:pPr>
          </w:p>
        </w:tc>
      </w:tr>
      <w:tr w14:paraId="75E8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1" w:type="pct"/>
            <w:noWrap w:val="0"/>
            <w:vAlign w:val="center"/>
          </w:tcPr>
          <w:p w14:paraId="35D59ED7">
            <w:pPr>
              <w:jc w:val="center"/>
              <w:rPr>
                <w:rFonts w:hint="eastAsia"/>
                <w:sz w:val="24"/>
              </w:rPr>
            </w:pPr>
            <w:r>
              <w:rPr>
                <w:sz w:val="24"/>
              </w:rPr>
              <w:t>4</w:t>
            </w:r>
          </w:p>
        </w:tc>
        <w:tc>
          <w:tcPr>
            <w:tcW w:w="1023" w:type="pct"/>
            <w:noWrap w:val="0"/>
            <w:vAlign w:val="center"/>
          </w:tcPr>
          <w:p w14:paraId="28CC09E7">
            <w:pPr>
              <w:jc w:val="center"/>
              <w:rPr>
                <w:rFonts w:hint="eastAsia"/>
                <w:sz w:val="24"/>
              </w:rPr>
            </w:pPr>
            <w:r>
              <w:rPr>
                <w:sz w:val="24"/>
              </w:rPr>
              <w:t>380</w:t>
            </w:r>
            <w:r>
              <w:rPr>
                <w:rFonts w:hint="eastAsia"/>
                <w:sz w:val="24"/>
              </w:rPr>
              <w:t>批次</w:t>
            </w:r>
          </w:p>
        </w:tc>
        <w:tc>
          <w:tcPr>
            <w:tcW w:w="962" w:type="pct"/>
            <w:noWrap w:val="0"/>
            <w:vAlign w:val="center"/>
          </w:tcPr>
          <w:p w14:paraId="3DE2E10A">
            <w:pPr>
              <w:jc w:val="center"/>
              <w:rPr>
                <w:rFonts w:hint="default" w:eastAsia="宋体"/>
                <w:sz w:val="24"/>
                <w:lang w:val="en-US" w:eastAsia="zh-CN"/>
              </w:rPr>
            </w:pPr>
            <w:r>
              <w:rPr>
                <w:rFonts w:hint="eastAsia"/>
                <w:sz w:val="24"/>
                <w:lang w:val="en-US" w:eastAsia="zh-CN"/>
              </w:rPr>
              <w:t>32.68</w:t>
            </w:r>
          </w:p>
        </w:tc>
        <w:tc>
          <w:tcPr>
            <w:tcW w:w="2603" w:type="pct"/>
            <w:vMerge w:val="continue"/>
            <w:noWrap w:val="0"/>
            <w:vAlign w:val="center"/>
          </w:tcPr>
          <w:p w14:paraId="4E1A7682">
            <w:pPr>
              <w:jc w:val="center"/>
              <w:rPr>
                <w:sz w:val="24"/>
              </w:rPr>
            </w:pPr>
          </w:p>
        </w:tc>
      </w:tr>
      <w:tr w14:paraId="7B42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1" w:type="pct"/>
            <w:noWrap w:val="0"/>
            <w:vAlign w:val="center"/>
          </w:tcPr>
          <w:p w14:paraId="0CA6EEDC">
            <w:pPr>
              <w:jc w:val="center"/>
              <w:rPr>
                <w:rFonts w:hint="eastAsia"/>
                <w:sz w:val="24"/>
              </w:rPr>
            </w:pPr>
            <w:r>
              <w:rPr>
                <w:sz w:val="24"/>
              </w:rPr>
              <w:t>5</w:t>
            </w:r>
          </w:p>
        </w:tc>
        <w:tc>
          <w:tcPr>
            <w:tcW w:w="1023" w:type="pct"/>
            <w:noWrap w:val="0"/>
            <w:vAlign w:val="center"/>
          </w:tcPr>
          <w:p w14:paraId="4D2A7981">
            <w:pPr>
              <w:jc w:val="center"/>
              <w:rPr>
                <w:rFonts w:hint="eastAsia"/>
                <w:sz w:val="24"/>
              </w:rPr>
            </w:pPr>
            <w:r>
              <w:rPr>
                <w:sz w:val="24"/>
              </w:rPr>
              <w:t>3</w:t>
            </w:r>
            <w:r>
              <w:rPr>
                <w:rFonts w:hint="eastAsia"/>
                <w:sz w:val="24"/>
                <w:lang w:val="en-US" w:eastAsia="zh-CN"/>
              </w:rPr>
              <w:t>2</w:t>
            </w:r>
            <w:r>
              <w:rPr>
                <w:sz w:val="24"/>
              </w:rPr>
              <w:t>0</w:t>
            </w:r>
            <w:r>
              <w:rPr>
                <w:rFonts w:hint="eastAsia"/>
                <w:sz w:val="24"/>
              </w:rPr>
              <w:t>批次</w:t>
            </w:r>
          </w:p>
        </w:tc>
        <w:tc>
          <w:tcPr>
            <w:tcW w:w="962" w:type="pct"/>
            <w:noWrap w:val="0"/>
            <w:vAlign w:val="center"/>
          </w:tcPr>
          <w:p w14:paraId="1C7F2803">
            <w:pPr>
              <w:jc w:val="center"/>
              <w:rPr>
                <w:rFonts w:hint="default" w:eastAsia="宋体"/>
                <w:sz w:val="24"/>
                <w:lang w:val="en-US" w:eastAsia="zh-CN"/>
              </w:rPr>
            </w:pPr>
            <w:r>
              <w:rPr>
                <w:rFonts w:hint="eastAsia"/>
                <w:sz w:val="24"/>
                <w:lang w:val="en-US" w:eastAsia="zh-CN"/>
              </w:rPr>
              <w:t>27.52</w:t>
            </w:r>
          </w:p>
        </w:tc>
        <w:tc>
          <w:tcPr>
            <w:tcW w:w="2603" w:type="pct"/>
            <w:vMerge w:val="continue"/>
            <w:noWrap w:val="0"/>
            <w:vAlign w:val="center"/>
          </w:tcPr>
          <w:p w14:paraId="3457219C">
            <w:pPr>
              <w:jc w:val="center"/>
              <w:rPr>
                <w:sz w:val="24"/>
              </w:rPr>
            </w:pPr>
          </w:p>
        </w:tc>
      </w:tr>
      <w:tr w14:paraId="42140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1" w:type="pct"/>
            <w:noWrap w:val="0"/>
            <w:vAlign w:val="center"/>
          </w:tcPr>
          <w:p w14:paraId="7D409BF8">
            <w:pPr>
              <w:jc w:val="center"/>
              <w:rPr>
                <w:rFonts w:hint="eastAsia"/>
                <w:sz w:val="24"/>
              </w:rPr>
            </w:pPr>
            <w:r>
              <w:rPr>
                <w:sz w:val="24"/>
              </w:rPr>
              <w:t>6</w:t>
            </w:r>
          </w:p>
        </w:tc>
        <w:tc>
          <w:tcPr>
            <w:tcW w:w="1023" w:type="pct"/>
            <w:noWrap w:val="0"/>
            <w:vAlign w:val="center"/>
          </w:tcPr>
          <w:p w14:paraId="2D273E1E">
            <w:pPr>
              <w:jc w:val="center"/>
              <w:rPr>
                <w:rFonts w:hint="eastAsia"/>
                <w:sz w:val="24"/>
              </w:rPr>
            </w:pPr>
            <w:r>
              <w:rPr>
                <w:sz w:val="24"/>
              </w:rPr>
              <w:t>3</w:t>
            </w:r>
            <w:r>
              <w:rPr>
                <w:rFonts w:hint="eastAsia"/>
                <w:sz w:val="24"/>
                <w:lang w:val="en-US" w:eastAsia="zh-CN"/>
              </w:rPr>
              <w:t>2</w:t>
            </w:r>
            <w:r>
              <w:rPr>
                <w:sz w:val="24"/>
              </w:rPr>
              <w:t>0</w:t>
            </w:r>
            <w:r>
              <w:rPr>
                <w:rFonts w:hint="eastAsia"/>
                <w:sz w:val="24"/>
              </w:rPr>
              <w:t>批次</w:t>
            </w:r>
          </w:p>
        </w:tc>
        <w:tc>
          <w:tcPr>
            <w:tcW w:w="962" w:type="pct"/>
            <w:noWrap w:val="0"/>
            <w:vAlign w:val="center"/>
          </w:tcPr>
          <w:p w14:paraId="3ED32C87">
            <w:pPr>
              <w:jc w:val="center"/>
              <w:rPr>
                <w:rFonts w:hint="default" w:eastAsia="宋体"/>
                <w:sz w:val="24"/>
                <w:lang w:val="en-US" w:eastAsia="zh-CN"/>
              </w:rPr>
            </w:pPr>
            <w:r>
              <w:rPr>
                <w:rFonts w:hint="eastAsia"/>
                <w:sz w:val="24"/>
                <w:lang w:val="en-US" w:eastAsia="zh-CN"/>
              </w:rPr>
              <w:t>27.52</w:t>
            </w:r>
          </w:p>
        </w:tc>
        <w:tc>
          <w:tcPr>
            <w:tcW w:w="2603" w:type="pct"/>
            <w:vMerge w:val="continue"/>
            <w:noWrap w:val="0"/>
            <w:vAlign w:val="center"/>
          </w:tcPr>
          <w:p w14:paraId="1243A06C">
            <w:pPr>
              <w:jc w:val="center"/>
              <w:rPr>
                <w:sz w:val="24"/>
              </w:rPr>
            </w:pPr>
          </w:p>
        </w:tc>
      </w:tr>
      <w:tr w14:paraId="1516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11" w:type="pct"/>
            <w:noWrap w:val="0"/>
            <w:vAlign w:val="center"/>
          </w:tcPr>
          <w:p w14:paraId="543367BA">
            <w:pPr>
              <w:jc w:val="center"/>
              <w:rPr>
                <w:rFonts w:hint="eastAsia"/>
                <w:sz w:val="24"/>
              </w:rPr>
            </w:pPr>
            <w:r>
              <w:rPr>
                <w:sz w:val="24"/>
              </w:rPr>
              <w:t>7</w:t>
            </w:r>
          </w:p>
        </w:tc>
        <w:tc>
          <w:tcPr>
            <w:tcW w:w="1023" w:type="pct"/>
            <w:noWrap w:val="0"/>
            <w:vAlign w:val="center"/>
          </w:tcPr>
          <w:p w14:paraId="7CA55EE0">
            <w:pPr>
              <w:jc w:val="center"/>
              <w:rPr>
                <w:rFonts w:hint="eastAsia"/>
                <w:sz w:val="24"/>
              </w:rPr>
            </w:pPr>
            <w:r>
              <w:rPr>
                <w:rFonts w:hint="eastAsia"/>
                <w:sz w:val="24"/>
                <w:lang w:val="en-US" w:eastAsia="zh-CN"/>
              </w:rPr>
              <w:t>300</w:t>
            </w:r>
            <w:r>
              <w:rPr>
                <w:rFonts w:hint="eastAsia"/>
                <w:sz w:val="24"/>
              </w:rPr>
              <w:t>批次</w:t>
            </w:r>
          </w:p>
        </w:tc>
        <w:tc>
          <w:tcPr>
            <w:tcW w:w="962" w:type="pct"/>
            <w:noWrap w:val="0"/>
            <w:vAlign w:val="center"/>
          </w:tcPr>
          <w:p w14:paraId="7A7C1884">
            <w:pPr>
              <w:jc w:val="center"/>
              <w:rPr>
                <w:rFonts w:hint="default" w:eastAsia="宋体"/>
                <w:sz w:val="24"/>
                <w:lang w:val="en-US" w:eastAsia="zh-CN"/>
              </w:rPr>
            </w:pPr>
            <w:r>
              <w:rPr>
                <w:rFonts w:hint="eastAsia"/>
                <w:sz w:val="24"/>
                <w:lang w:val="en-US" w:eastAsia="zh-CN"/>
              </w:rPr>
              <w:t>25.8</w:t>
            </w:r>
          </w:p>
        </w:tc>
        <w:tc>
          <w:tcPr>
            <w:tcW w:w="2603" w:type="pct"/>
            <w:vMerge w:val="continue"/>
            <w:noWrap w:val="0"/>
            <w:vAlign w:val="center"/>
          </w:tcPr>
          <w:p w14:paraId="025313E1">
            <w:pPr>
              <w:jc w:val="center"/>
              <w:rPr>
                <w:sz w:val="24"/>
              </w:rPr>
            </w:pPr>
          </w:p>
        </w:tc>
      </w:tr>
      <w:tr w14:paraId="77253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11" w:type="pct"/>
            <w:noWrap w:val="0"/>
            <w:vAlign w:val="center"/>
          </w:tcPr>
          <w:p w14:paraId="57CB6153">
            <w:pPr>
              <w:jc w:val="center"/>
              <w:rPr>
                <w:rFonts w:hint="eastAsia"/>
                <w:sz w:val="24"/>
              </w:rPr>
            </w:pPr>
            <w:r>
              <w:rPr>
                <w:sz w:val="24"/>
              </w:rPr>
              <w:t>8</w:t>
            </w:r>
          </w:p>
        </w:tc>
        <w:tc>
          <w:tcPr>
            <w:tcW w:w="1023" w:type="pct"/>
            <w:noWrap w:val="0"/>
            <w:vAlign w:val="center"/>
          </w:tcPr>
          <w:p w14:paraId="1F4448CE">
            <w:pPr>
              <w:jc w:val="center"/>
              <w:rPr>
                <w:sz w:val="24"/>
              </w:rPr>
            </w:pPr>
            <w:r>
              <w:rPr>
                <w:rFonts w:hint="eastAsia"/>
                <w:sz w:val="24"/>
                <w:lang w:val="en-US" w:eastAsia="zh-CN"/>
              </w:rPr>
              <w:t>300</w:t>
            </w:r>
            <w:r>
              <w:rPr>
                <w:rFonts w:hint="eastAsia"/>
                <w:sz w:val="24"/>
              </w:rPr>
              <w:t>批次</w:t>
            </w:r>
          </w:p>
        </w:tc>
        <w:tc>
          <w:tcPr>
            <w:tcW w:w="962" w:type="pct"/>
            <w:noWrap w:val="0"/>
            <w:vAlign w:val="center"/>
          </w:tcPr>
          <w:p w14:paraId="0CDEB32F">
            <w:pPr>
              <w:jc w:val="center"/>
              <w:rPr>
                <w:rFonts w:hint="default" w:eastAsia="宋体"/>
                <w:sz w:val="24"/>
                <w:lang w:val="en-US" w:eastAsia="zh-CN"/>
              </w:rPr>
            </w:pPr>
            <w:r>
              <w:rPr>
                <w:rFonts w:hint="eastAsia"/>
                <w:sz w:val="24"/>
                <w:lang w:val="en-US" w:eastAsia="zh-CN"/>
              </w:rPr>
              <w:t>25.8</w:t>
            </w:r>
          </w:p>
        </w:tc>
        <w:tc>
          <w:tcPr>
            <w:tcW w:w="2603" w:type="pct"/>
            <w:vMerge w:val="continue"/>
            <w:noWrap w:val="0"/>
            <w:vAlign w:val="center"/>
          </w:tcPr>
          <w:p w14:paraId="1F3D88B9">
            <w:pPr>
              <w:jc w:val="center"/>
              <w:rPr>
                <w:sz w:val="24"/>
              </w:rPr>
            </w:pPr>
          </w:p>
        </w:tc>
      </w:tr>
      <w:tr w14:paraId="70D7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1" w:type="pct"/>
            <w:noWrap w:val="0"/>
            <w:vAlign w:val="center"/>
          </w:tcPr>
          <w:p w14:paraId="5608FE4C">
            <w:pPr>
              <w:jc w:val="center"/>
              <w:rPr>
                <w:rFonts w:hint="eastAsia"/>
                <w:sz w:val="24"/>
              </w:rPr>
            </w:pPr>
            <w:r>
              <w:rPr>
                <w:sz w:val="24"/>
              </w:rPr>
              <w:t>9</w:t>
            </w:r>
          </w:p>
        </w:tc>
        <w:tc>
          <w:tcPr>
            <w:tcW w:w="1023" w:type="pct"/>
            <w:noWrap w:val="0"/>
            <w:vAlign w:val="center"/>
          </w:tcPr>
          <w:p w14:paraId="22E7C5CC">
            <w:pPr>
              <w:jc w:val="center"/>
              <w:rPr>
                <w:rFonts w:hint="eastAsia" w:eastAsia="宋体"/>
                <w:sz w:val="24"/>
                <w:lang w:eastAsia="zh-CN"/>
              </w:rPr>
            </w:pPr>
            <w:r>
              <w:rPr>
                <w:rFonts w:hint="eastAsia"/>
                <w:sz w:val="24"/>
                <w:lang w:val="en-US" w:eastAsia="zh-CN"/>
              </w:rPr>
              <w:t>560批次</w:t>
            </w:r>
          </w:p>
        </w:tc>
        <w:tc>
          <w:tcPr>
            <w:tcW w:w="962" w:type="pct"/>
            <w:noWrap w:val="0"/>
            <w:vAlign w:val="center"/>
          </w:tcPr>
          <w:p w14:paraId="6DF540FA">
            <w:pPr>
              <w:jc w:val="center"/>
              <w:rPr>
                <w:rFonts w:hint="default" w:eastAsia="宋体"/>
                <w:sz w:val="24"/>
                <w:lang w:val="en-US" w:eastAsia="zh-CN"/>
              </w:rPr>
            </w:pPr>
            <w:r>
              <w:rPr>
                <w:rFonts w:hint="eastAsia"/>
                <w:sz w:val="24"/>
                <w:lang w:val="en-US" w:eastAsia="zh-CN"/>
              </w:rPr>
              <w:t>48.16</w:t>
            </w:r>
          </w:p>
        </w:tc>
        <w:tc>
          <w:tcPr>
            <w:tcW w:w="2603" w:type="pct"/>
            <w:noWrap w:val="0"/>
            <w:vAlign w:val="center"/>
          </w:tcPr>
          <w:p w14:paraId="31E490A0">
            <w:pPr>
              <w:jc w:val="left"/>
              <w:rPr>
                <w:sz w:val="24"/>
              </w:rPr>
            </w:pPr>
            <w:r>
              <w:rPr>
                <w:rFonts w:hint="eastAsia" w:ascii="宋体" w:hAnsi="宋体"/>
                <w:sz w:val="24"/>
                <w:lang w:eastAsia="zh-CN"/>
              </w:rPr>
              <w:t>本</w:t>
            </w:r>
            <w:r>
              <w:rPr>
                <w:rFonts w:hint="eastAsia" w:ascii="宋体" w:hAnsi="宋体"/>
                <w:sz w:val="24"/>
                <w:lang w:val="en-US" w:eastAsia="zh-CN"/>
              </w:rPr>
              <w:t>采购包</w:t>
            </w:r>
            <w:r>
              <w:rPr>
                <w:rFonts w:hint="eastAsia" w:ascii="宋体" w:hAnsi="宋体"/>
                <w:sz w:val="24"/>
                <w:lang w:eastAsia="zh-CN"/>
              </w:rPr>
              <w:t>为常州经济开发区市场监督管理局2026年食品安全应急检测项目，任务时间为2026年，任务类型为应急监督抽检+专项检测。</w:t>
            </w:r>
            <w:r>
              <w:rPr>
                <w:rFonts w:hint="eastAsia" w:ascii="宋体" w:hAnsi="宋体"/>
                <w:sz w:val="24"/>
                <w:lang w:val="en-US" w:eastAsia="zh-CN"/>
              </w:rPr>
              <w:t>最终结算金额不超过86</w:t>
            </w:r>
            <w:r>
              <w:rPr>
                <w:rFonts w:hint="eastAsia" w:ascii="宋体" w:hAnsi="宋体"/>
                <w:sz w:val="24"/>
                <w:lang w:eastAsia="zh-CN"/>
              </w:rPr>
              <w:t>0元/批次</w:t>
            </w:r>
          </w:p>
        </w:tc>
      </w:tr>
    </w:tbl>
    <w:p w14:paraId="7AC99A01">
      <w:pPr>
        <w:spacing w:line="360" w:lineRule="auto"/>
        <w:ind w:firstLine="480" w:firstLineChars="200"/>
        <w:rPr>
          <w:rFonts w:ascii="宋体" w:hAnsi="宋体"/>
          <w:sz w:val="24"/>
        </w:rPr>
      </w:pPr>
      <w:r>
        <w:rPr>
          <w:rFonts w:hint="eastAsia" w:ascii="宋体" w:hAnsi="宋体"/>
          <w:sz w:val="24"/>
        </w:rPr>
        <w:t>供应商可以响应其中任意一个或几个包。定标时按包号顺序（包1→包2→ …→包</w:t>
      </w:r>
      <w:r>
        <w:rPr>
          <w:rFonts w:ascii="宋体" w:hAnsi="宋体"/>
          <w:sz w:val="24"/>
        </w:rPr>
        <w:t>8</w:t>
      </w:r>
      <w:r>
        <w:rPr>
          <w:rFonts w:hint="eastAsia" w:ascii="宋体" w:hAnsi="宋体"/>
          <w:sz w:val="24"/>
        </w:rPr>
        <w:t>）依次确定中标候选人，前面包已定为成交第一候选人的自动放弃后续包（除包</w:t>
      </w:r>
      <w:r>
        <w:rPr>
          <w:rFonts w:ascii="宋体" w:hAnsi="宋体"/>
          <w:sz w:val="24"/>
        </w:rPr>
        <w:t>9</w:t>
      </w:r>
      <w:r>
        <w:rPr>
          <w:rFonts w:hint="eastAsia" w:ascii="宋体" w:hAnsi="宋体"/>
          <w:sz w:val="24"/>
        </w:rPr>
        <w:t>外）的成交资格，某一包实质性响应单位不足3家则该包废标。</w:t>
      </w:r>
    </w:p>
    <w:p w14:paraId="2E25B684">
      <w:pPr>
        <w:spacing w:line="360" w:lineRule="auto"/>
        <w:ind w:firstLine="480"/>
        <w:rPr>
          <w:rFonts w:ascii="宋体" w:hAnsi="宋体"/>
          <w:sz w:val="24"/>
        </w:rPr>
      </w:pPr>
      <w:r>
        <w:rPr>
          <w:rFonts w:hint="eastAsia" w:ascii="宋体" w:hAnsi="宋体"/>
          <w:sz w:val="24"/>
          <w:lang w:val="en-US" w:eastAsia="zh-CN"/>
        </w:rPr>
        <w:t>5</w:t>
      </w:r>
      <w:r>
        <w:rPr>
          <w:rFonts w:ascii="宋体" w:hAnsi="宋体"/>
          <w:sz w:val="24"/>
        </w:rPr>
        <w:t>.合同履行期限：</w:t>
      </w:r>
      <w:bookmarkStart w:id="17" w:name="_Hlk74249089"/>
      <w:r>
        <w:rPr>
          <w:rFonts w:hint="eastAsia" w:ascii="宋体" w:hAnsi="宋体"/>
          <w:sz w:val="24"/>
        </w:rPr>
        <w:t>1年</w:t>
      </w:r>
    </w:p>
    <w:bookmarkEnd w:id="17"/>
    <w:p w14:paraId="1C34A3AB">
      <w:pPr>
        <w:spacing w:line="360" w:lineRule="auto"/>
        <w:ind w:firstLine="480"/>
        <w:rPr>
          <w:rFonts w:ascii="宋体" w:hAnsi="宋体"/>
          <w:sz w:val="24"/>
        </w:rPr>
      </w:pPr>
      <w:r>
        <w:rPr>
          <w:rFonts w:hint="eastAsia" w:ascii="宋体" w:hAnsi="宋体"/>
          <w:sz w:val="24"/>
          <w:lang w:val="en-US" w:eastAsia="zh-CN"/>
        </w:rPr>
        <w:t>6</w:t>
      </w:r>
      <w:r>
        <w:rPr>
          <w:rFonts w:ascii="宋体" w:hAnsi="宋体"/>
          <w:sz w:val="24"/>
        </w:rPr>
        <w:t>.本项目是否接受联合体：</w:t>
      </w:r>
      <w:r>
        <w:rPr>
          <w:rFonts w:hint="eastAsia" w:ascii="宋体" w:hAnsi="宋体"/>
          <w:sz w:val="24"/>
        </w:rPr>
        <w:t>□</w:t>
      </w:r>
      <w:r>
        <w:rPr>
          <w:rFonts w:ascii="宋体" w:hAnsi="宋体"/>
          <w:sz w:val="24"/>
        </w:rPr>
        <w:t xml:space="preserve">是  </w:t>
      </w:r>
      <w:r>
        <w:rPr>
          <w:rFonts w:hint="eastAsia" w:ascii="宋体" w:hAnsi="宋体"/>
          <w:sz w:val="24"/>
        </w:rPr>
        <w:t>■</w:t>
      </w:r>
      <w:r>
        <w:rPr>
          <w:rFonts w:ascii="宋体" w:hAnsi="宋体"/>
          <w:sz w:val="24"/>
        </w:rPr>
        <w:t>否。</w:t>
      </w:r>
    </w:p>
    <w:p w14:paraId="5C8F9D6F">
      <w:pPr>
        <w:spacing w:line="360" w:lineRule="auto"/>
        <w:ind w:firstLine="480"/>
        <w:rPr>
          <w:rFonts w:hint="eastAsia" w:ascii="宋体" w:hAnsi="宋体" w:cs="宋体"/>
          <w:b/>
          <w:bCs/>
          <w:color w:val="000000"/>
          <w:sz w:val="24"/>
        </w:rPr>
      </w:pPr>
      <w:r>
        <w:rPr>
          <w:rFonts w:hint="eastAsia" w:ascii="宋体" w:hAnsi="宋体"/>
          <w:sz w:val="24"/>
          <w:lang w:val="en-US" w:eastAsia="zh-CN"/>
        </w:rPr>
        <w:t>7</w:t>
      </w:r>
      <w:r>
        <w:rPr>
          <w:rFonts w:hint="eastAsia" w:ascii="宋体" w:hAnsi="宋体"/>
          <w:sz w:val="24"/>
        </w:rPr>
        <w:t>.</w:t>
      </w:r>
      <w:r>
        <w:rPr>
          <w:rFonts w:ascii="宋体" w:hAnsi="宋体"/>
          <w:sz w:val="24"/>
        </w:rPr>
        <w:t>本项目是否接受</w:t>
      </w:r>
      <w:r>
        <w:rPr>
          <w:rFonts w:hint="eastAsia" w:ascii="宋体" w:hAnsi="宋体"/>
          <w:sz w:val="24"/>
        </w:rPr>
        <w:t>进口产品响应</w:t>
      </w:r>
      <w:r>
        <w:rPr>
          <w:rFonts w:ascii="宋体" w:hAnsi="宋体"/>
          <w:sz w:val="24"/>
        </w:rPr>
        <w:t>：</w:t>
      </w:r>
      <w:r>
        <w:rPr>
          <w:rFonts w:hint="eastAsia" w:ascii="宋体" w:hAnsi="宋体"/>
          <w:sz w:val="24"/>
        </w:rPr>
        <w:t>□</w:t>
      </w:r>
      <w:r>
        <w:rPr>
          <w:rFonts w:ascii="宋体" w:hAnsi="宋体"/>
          <w:sz w:val="24"/>
        </w:rPr>
        <w:t xml:space="preserve">是  </w:t>
      </w:r>
      <w:r>
        <w:rPr>
          <w:rFonts w:hint="eastAsia" w:ascii="宋体" w:hAnsi="宋体"/>
          <w:sz w:val="24"/>
        </w:rPr>
        <w:t>■</w:t>
      </w:r>
      <w:r>
        <w:rPr>
          <w:rFonts w:ascii="宋体" w:hAnsi="宋体"/>
          <w:sz w:val="24"/>
        </w:rPr>
        <w:t>否。</w:t>
      </w:r>
    </w:p>
    <w:p w14:paraId="3803FCD1">
      <w:pPr>
        <w:pStyle w:val="3"/>
        <w:spacing w:before="0" w:line="360" w:lineRule="auto"/>
        <w:ind w:firstLine="482"/>
        <w:jc w:val="left"/>
        <w:rPr>
          <w:rFonts w:ascii="宋体" w:hAnsi="宋体" w:eastAsia="宋体"/>
          <w:sz w:val="24"/>
          <w:szCs w:val="24"/>
        </w:rPr>
      </w:pPr>
      <w:bookmarkStart w:id="18" w:name="_Toc11773"/>
      <w:bookmarkStart w:id="19" w:name="_Toc152678615"/>
      <w:bookmarkStart w:id="20" w:name="_Toc160609021"/>
      <w:bookmarkStart w:id="21" w:name="_Toc30550"/>
      <w:bookmarkStart w:id="22" w:name="_Toc152678534"/>
      <w:r>
        <w:rPr>
          <w:rFonts w:ascii="宋体" w:hAnsi="宋体" w:eastAsia="宋体"/>
          <w:sz w:val="24"/>
          <w:szCs w:val="24"/>
        </w:rPr>
        <w:t>二、申请人的资格要求（须同时满足）</w:t>
      </w:r>
      <w:bookmarkEnd w:id="13"/>
      <w:bookmarkEnd w:id="14"/>
      <w:bookmarkEnd w:id="15"/>
      <w:bookmarkEnd w:id="16"/>
      <w:bookmarkEnd w:id="18"/>
      <w:bookmarkEnd w:id="19"/>
      <w:bookmarkEnd w:id="20"/>
      <w:bookmarkEnd w:id="21"/>
      <w:bookmarkEnd w:id="22"/>
    </w:p>
    <w:p w14:paraId="37670D6A">
      <w:pPr>
        <w:tabs>
          <w:tab w:val="left" w:pos="900"/>
          <w:tab w:val="left" w:pos="1134"/>
          <w:tab w:val="left" w:pos="1589"/>
          <w:tab w:val="left" w:pos="5521"/>
        </w:tabs>
        <w:spacing w:line="360" w:lineRule="auto"/>
        <w:ind w:firstLine="480"/>
        <w:rPr>
          <w:rFonts w:ascii="宋体" w:hAnsi="宋体"/>
          <w:sz w:val="24"/>
        </w:rPr>
      </w:pPr>
      <w:bookmarkStart w:id="23" w:name="_Toc28359004"/>
      <w:bookmarkStart w:id="24" w:name="_Hlk153261989"/>
      <w:bookmarkStart w:id="25" w:name="_Toc28359081"/>
      <w:r>
        <w:rPr>
          <w:rFonts w:hint="eastAsia" w:ascii="宋体" w:hAnsi="宋体"/>
          <w:sz w:val="24"/>
        </w:rPr>
        <w:t>1.满足《中华人民共和国政府采购法》第二十二条规定；</w:t>
      </w:r>
    </w:p>
    <w:p w14:paraId="088167C2">
      <w:pPr>
        <w:spacing w:line="360" w:lineRule="auto"/>
        <w:ind w:firstLine="480"/>
        <w:rPr>
          <w:rFonts w:ascii="宋体" w:hAnsi="宋体"/>
          <w:sz w:val="24"/>
        </w:rPr>
      </w:pPr>
      <w:r>
        <w:rPr>
          <w:rFonts w:hint="eastAsia" w:ascii="宋体" w:hAnsi="宋体"/>
          <w:sz w:val="24"/>
        </w:rPr>
        <w:t>1.1未被“信用中国”网站（www.creditchina.gov.cn）或“中国政府采购网”网站（www.ccgp.gov.cn）列入失信被执行人、重大税收违法案件当事人名单、政府采购严重失信行为记录名单；</w:t>
      </w:r>
    </w:p>
    <w:p w14:paraId="0CA24CD1">
      <w:pPr>
        <w:spacing w:line="360" w:lineRule="auto"/>
        <w:ind w:firstLine="480"/>
        <w:rPr>
          <w:rFonts w:ascii="宋体" w:hAnsi="宋体"/>
          <w:sz w:val="24"/>
        </w:rPr>
      </w:pPr>
      <w:r>
        <w:rPr>
          <w:rFonts w:hint="eastAsia" w:ascii="宋体" w:hAnsi="宋体"/>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18A6F93C">
      <w:pPr>
        <w:numPr>
          <w:ilvl w:val="0"/>
          <w:numId w:val="8"/>
        </w:numPr>
        <w:spacing w:line="360" w:lineRule="auto"/>
        <w:ind w:firstLine="480"/>
        <w:rPr>
          <w:rFonts w:hint="eastAsia" w:ascii="宋体" w:hAnsi="宋体"/>
          <w:sz w:val="24"/>
        </w:rPr>
      </w:pPr>
      <w:r>
        <w:rPr>
          <w:rFonts w:hint="eastAsia" w:ascii="宋体" w:hAnsi="宋体"/>
          <w:sz w:val="24"/>
        </w:rPr>
        <w:t>落实政府采购政策需满足的资格要求：</w:t>
      </w:r>
    </w:p>
    <w:p w14:paraId="05626A14">
      <w:pPr>
        <w:spacing w:line="360" w:lineRule="auto"/>
        <w:ind w:firstLine="480"/>
        <w:rPr>
          <w:rFonts w:hint="eastAsia" w:ascii="宋体" w:hAnsi="宋体"/>
          <w:sz w:val="24"/>
        </w:rPr>
      </w:pPr>
      <w:r>
        <w:rPr>
          <w:rFonts w:hint="eastAsia" w:ascii="宋体" w:hAnsi="宋体"/>
          <w:sz w:val="24"/>
        </w:rPr>
        <w:t>本项目不专门面向中小企业预留采购份额。</w:t>
      </w:r>
    </w:p>
    <w:p w14:paraId="01781BDF">
      <w:pPr>
        <w:tabs>
          <w:tab w:val="left" w:pos="900"/>
          <w:tab w:val="left" w:pos="1134"/>
          <w:tab w:val="left" w:pos="1589"/>
          <w:tab w:val="left" w:pos="5521"/>
        </w:tabs>
        <w:spacing w:line="360" w:lineRule="auto"/>
        <w:ind w:firstLine="480"/>
        <w:rPr>
          <w:rFonts w:ascii="宋体" w:hAnsi="宋体"/>
          <w:sz w:val="24"/>
        </w:rPr>
      </w:pPr>
      <w:r>
        <w:rPr>
          <w:rFonts w:hint="eastAsia" w:ascii="宋体" w:hAnsi="宋体"/>
          <w:sz w:val="24"/>
        </w:rPr>
        <w:t xml:space="preserve">3.本项目的特定资格要求： </w:t>
      </w:r>
    </w:p>
    <w:bookmarkEnd w:id="23"/>
    <w:bookmarkEnd w:id="24"/>
    <w:bookmarkEnd w:id="25"/>
    <w:p w14:paraId="0B50DD49">
      <w:pPr>
        <w:spacing w:line="360" w:lineRule="auto"/>
        <w:ind w:firstLine="480"/>
        <w:rPr>
          <w:rFonts w:ascii="宋体" w:hAnsi="宋体"/>
          <w:sz w:val="24"/>
        </w:rPr>
      </w:pPr>
      <w:bookmarkStart w:id="26" w:name="_Toc152678535"/>
      <w:bookmarkStart w:id="27" w:name="_Toc160609022"/>
      <w:bookmarkStart w:id="28" w:name="_Toc35393623"/>
      <w:bookmarkStart w:id="29" w:name="_Toc35393792"/>
      <w:bookmarkStart w:id="30" w:name="_Toc152678616"/>
      <w:r>
        <w:rPr>
          <w:rFonts w:ascii="宋体" w:hAnsi="宋体"/>
          <w:sz w:val="24"/>
        </w:rPr>
        <w:t>3.1本项目是否接受分支机构参与</w:t>
      </w:r>
      <w:r>
        <w:rPr>
          <w:rFonts w:hint="eastAsia" w:ascii="宋体" w:hAnsi="宋体"/>
          <w:sz w:val="24"/>
        </w:rPr>
        <w:t>磋商</w:t>
      </w:r>
      <w:r>
        <w:rPr>
          <w:rFonts w:ascii="宋体" w:hAnsi="宋体"/>
          <w:sz w:val="24"/>
        </w:rPr>
        <w:t>：</w:t>
      </w:r>
      <w:r>
        <w:rPr>
          <w:rFonts w:hint="eastAsia" w:ascii="宋体" w:hAnsi="宋体"/>
          <w:sz w:val="24"/>
        </w:rPr>
        <w:t xml:space="preserve">否； </w:t>
      </w:r>
    </w:p>
    <w:p w14:paraId="3C46CB67">
      <w:pPr>
        <w:spacing w:line="360" w:lineRule="auto"/>
        <w:ind w:firstLine="480"/>
        <w:rPr>
          <w:rFonts w:ascii="宋体" w:hAnsi="宋体"/>
          <w:sz w:val="24"/>
        </w:rPr>
      </w:pPr>
      <w:r>
        <w:rPr>
          <w:rFonts w:ascii="宋体" w:hAnsi="宋体"/>
          <w:sz w:val="24"/>
        </w:rPr>
        <w:t>3.2本项目是否属于政府购买服务：</w:t>
      </w:r>
      <w:r>
        <w:rPr>
          <w:rFonts w:hint="eastAsia" w:ascii="宋体" w:hAnsi="宋体"/>
          <w:sz w:val="24"/>
        </w:rPr>
        <w:t>是，公益一类事业单位、使用事业编制且由财政拨款保障的群团组织，不得作为承接主体；</w:t>
      </w:r>
    </w:p>
    <w:p w14:paraId="2C3E388E">
      <w:pPr>
        <w:spacing w:line="360" w:lineRule="auto"/>
        <w:ind w:firstLine="480"/>
        <w:rPr>
          <w:rFonts w:ascii="宋体" w:hAnsi="宋体"/>
          <w:sz w:val="24"/>
        </w:rPr>
      </w:pPr>
      <w:r>
        <w:rPr>
          <w:rFonts w:ascii="宋体" w:hAnsi="宋体"/>
          <w:sz w:val="24"/>
        </w:rPr>
        <w:t>3.3其他特定资格要求：</w:t>
      </w:r>
    </w:p>
    <w:p w14:paraId="6626CB03">
      <w:pPr>
        <w:tabs>
          <w:tab w:val="left" w:pos="900"/>
          <w:tab w:val="left" w:pos="1134"/>
          <w:tab w:val="left" w:pos="1589"/>
          <w:tab w:val="left" w:pos="5521"/>
        </w:tabs>
        <w:snapToGrid w:val="0"/>
        <w:spacing w:line="360" w:lineRule="auto"/>
        <w:ind w:firstLine="480" w:firstLineChars="200"/>
        <w:rPr>
          <w:rFonts w:hint="eastAsia" w:ascii="宋体" w:hAnsi="宋体" w:eastAsia="宋体"/>
          <w:sz w:val="24"/>
          <w:lang w:eastAsia="zh-CN"/>
        </w:rPr>
      </w:pPr>
      <w:r>
        <w:rPr>
          <w:rFonts w:hint="eastAsia"/>
          <w:sz w:val="24"/>
        </w:rPr>
        <w:t>供应商必须具有有效期内的食品检验机构资质认定证书及附表，证书资质范围须包含本项目所涉及（除保健食品、特殊膳食食品、特殊医学用途配方食品、婴幼儿配方食品外）的全部检验检测项目。</w:t>
      </w:r>
    </w:p>
    <w:bookmarkEnd w:id="12"/>
    <w:p w14:paraId="20BA615D">
      <w:pPr>
        <w:pStyle w:val="3"/>
        <w:widowControl/>
        <w:spacing w:before="0" w:line="360" w:lineRule="auto"/>
        <w:ind w:firstLine="482"/>
        <w:jc w:val="left"/>
        <w:rPr>
          <w:rFonts w:ascii="宋体" w:hAnsi="宋体" w:eastAsia="宋体"/>
          <w:sz w:val="24"/>
          <w:szCs w:val="24"/>
        </w:rPr>
      </w:pPr>
      <w:bookmarkStart w:id="31" w:name="_Toc24753"/>
      <w:bookmarkStart w:id="32" w:name="_Toc6375"/>
      <w:r>
        <w:rPr>
          <w:rFonts w:ascii="宋体" w:hAnsi="宋体" w:eastAsia="宋体"/>
          <w:sz w:val="24"/>
          <w:szCs w:val="24"/>
        </w:rPr>
        <w:t>三、获取磋商文件</w:t>
      </w:r>
      <w:bookmarkEnd w:id="26"/>
      <w:bookmarkEnd w:id="27"/>
      <w:bookmarkEnd w:id="28"/>
      <w:bookmarkEnd w:id="29"/>
      <w:bookmarkEnd w:id="30"/>
      <w:bookmarkEnd w:id="31"/>
      <w:bookmarkEnd w:id="32"/>
    </w:p>
    <w:p w14:paraId="639AF69A">
      <w:pPr>
        <w:spacing w:line="360" w:lineRule="auto"/>
        <w:ind w:firstLine="540"/>
        <w:rPr>
          <w:rFonts w:ascii="宋体" w:hAnsi="宋体" w:cs="宋体"/>
          <w:b/>
          <w:sz w:val="24"/>
        </w:rPr>
      </w:pPr>
      <w:bookmarkStart w:id="33" w:name="_Toc35393793"/>
      <w:bookmarkStart w:id="34" w:name="_Toc28359005"/>
      <w:bookmarkStart w:id="35" w:name="_Toc35393624"/>
      <w:bookmarkStart w:id="36" w:name="_Toc28359082"/>
      <w:r>
        <w:rPr>
          <w:rFonts w:hint="eastAsia" w:ascii="宋体" w:hAnsi="宋体" w:cs="宋体"/>
          <w:sz w:val="24"/>
        </w:rPr>
        <w:t>1.时间：</w:t>
      </w:r>
      <w:r>
        <w:rPr>
          <w:rFonts w:hint="eastAsia" w:ascii="宋体" w:hAnsi="宋体"/>
          <w:sz w:val="24"/>
        </w:rPr>
        <w:t>自磋商文件公告发布之日起5个工作日</w:t>
      </w:r>
      <w:r>
        <w:rPr>
          <w:rFonts w:hint="eastAsia" w:ascii="宋体" w:hAnsi="宋体" w:cs="宋体"/>
          <w:sz w:val="24"/>
        </w:rPr>
        <w:t>。</w:t>
      </w:r>
    </w:p>
    <w:bookmarkEnd w:id="33"/>
    <w:bookmarkEnd w:id="34"/>
    <w:bookmarkEnd w:id="35"/>
    <w:bookmarkEnd w:id="36"/>
    <w:p w14:paraId="0027E2E4">
      <w:pPr>
        <w:spacing w:line="360" w:lineRule="auto"/>
        <w:ind w:firstLine="540"/>
        <w:rPr>
          <w:rFonts w:hint="eastAsia" w:ascii="宋体" w:hAnsi="宋体" w:eastAsia="宋体" w:cs="宋体"/>
          <w:color w:val="auto"/>
          <w:sz w:val="24"/>
          <w:highlight w:val="none"/>
          <w:lang w:val="en-US" w:eastAsia="zh-CN"/>
        </w:rPr>
      </w:pPr>
      <w:bookmarkStart w:id="37" w:name="_Toc160609023"/>
      <w:bookmarkStart w:id="38" w:name="_Toc152678536"/>
      <w:bookmarkStart w:id="39" w:name="_Toc31510"/>
      <w:bookmarkStart w:id="40" w:name="_Toc152678617"/>
      <w:bookmarkStart w:id="41" w:name="_Toc16729"/>
      <w:bookmarkStart w:id="42" w:name="_Hlk152677869"/>
      <w:bookmarkStart w:id="43" w:name="_Toc35393625"/>
      <w:bookmarkStart w:id="44" w:name="_Toc35393794"/>
      <w:bookmarkStart w:id="45" w:name="_Toc28359007"/>
      <w:bookmarkStart w:id="46" w:name="_Toc28359084"/>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地点：</w:t>
      </w:r>
      <w:r>
        <w:rPr>
          <w:rFonts w:hint="eastAsia" w:ascii="宋体" w:hAnsi="宋体" w:eastAsia="宋体" w:cs="宋体"/>
          <w:color w:val="auto"/>
          <w:sz w:val="24"/>
          <w:highlight w:val="none"/>
        </w:rPr>
        <w:t>“苏采云”政府采购一体化平台</w:t>
      </w:r>
      <w:r>
        <w:rPr>
          <w:rFonts w:hint="eastAsia" w:ascii="宋体" w:hAnsi="宋体" w:eastAsia="宋体" w:cs="宋体"/>
          <w:color w:val="auto"/>
          <w:sz w:val="24"/>
          <w:highlight w:val="none"/>
          <w:lang w:eastAsia="zh-CN"/>
        </w:rPr>
        <w:t>。</w:t>
      </w:r>
    </w:p>
    <w:p w14:paraId="0F211132">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方式：在“苏采云”平台自行免费下载采购文件。注：供应商必须登录“苏采云”系统下载电子采购文件方可通过系统进行投标（响应）文件的编制和提交。</w:t>
      </w:r>
    </w:p>
    <w:p w14:paraId="3B768242">
      <w:pPr>
        <w:spacing w:line="360" w:lineRule="auto"/>
        <w:ind w:firstLine="54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4.售价：0.00元</w:t>
      </w:r>
    </w:p>
    <w:p w14:paraId="1C22909D">
      <w:pPr>
        <w:pStyle w:val="3"/>
        <w:widowControl/>
        <w:spacing w:before="0" w:line="360" w:lineRule="auto"/>
        <w:ind w:firstLine="482"/>
        <w:jc w:val="left"/>
        <w:rPr>
          <w:rFonts w:ascii="宋体" w:hAnsi="宋体" w:eastAsia="宋体"/>
          <w:sz w:val="24"/>
          <w:szCs w:val="24"/>
        </w:rPr>
      </w:pPr>
      <w:r>
        <w:rPr>
          <w:rFonts w:ascii="宋体" w:hAnsi="宋体" w:eastAsia="宋体"/>
          <w:sz w:val="24"/>
          <w:szCs w:val="24"/>
        </w:rPr>
        <w:t>四、</w:t>
      </w:r>
      <w:r>
        <w:rPr>
          <w:rFonts w:hint="eastAsia" w:ascii="宋体" w:hAnsi="宋体" w:eastAsia="宋体"/>
          <w:sz w:val="24"/>
          <w:szCs w:val="24"/>
        </w:rPr>
        <w:t>响应文件提交</w:t>
      </w:r>
      <w:bookmarkEnd w:id="37"/>
      <w:bookmarkEnd w:id="38"/>
      <w:bookmarkEnd w:id="39"/>
      <w:bookmarkEnd w:id="40"/>
      <w:bookmarkEnd w:id="41"/>
    </w:p>
    <w:p w14:paraId="089724FB">
      <w:pPr>
        <w:spacing w:line="360" w:lineRule="auto"/>
        <w:ind w:firstLine="480"/>
        <w:rPr>
          <w:rFonts w:ascii="宋体" w:hAnsi="宋体"/>
          <w:bCs/>
          <w:sz w:val="24"/>
          <w:u w:val="single"/>
        </w:rPr>
      </w:pPr>
      <w:bookmarkStart w:id="47" w:name="_Hlk149911415"/>
      <w:r>
        <w:rPr>
          <w:rFonts w:hint="eastAsia" w:ascii="宋体" w:hAnsi="宋体"/>
          <w:sz w:val="24"/>
        </w:rPr>
        <w:t>1、截止时间</w:t>
      </w:r>
      <w:r>
        <w:rPr>
          <w:rFonts w:ascii="宋体" w:hAnsi="宋体"/>
          <w:sz w:val="24"/>
        </w:rPr>
        <w:t>：</w:t>
      </w:r>
      <w:r>
        <w:rPr>
          <w:rFonts w:hint="eastAsia" w:ascii="宋体" w:hAnsi="宋体"/>
          <w:sz w:val="24"/>
        </w:rPr>
        <w:t>202</w:t>
      </w:r>
      <w:r>
        <w:rPr>
          <w:rFonts w:hint="eastAsia" w:ascii="宋体" w:hAnsi="宋体"/>
          <w:sz w:val="24"/>
          <w:lang w:val="en-US" w:eastAsia="zh-CN"/>
        </w:rPr>
        <w:t>6</w:t>
      </w:r>
      <w:r>
        <w:rPr>
          <w:rFonts w:ascii="宋体" w:hAnsi="宋体"/>
          <w:sz w:val="24"/>
        </w:rPr>
        <w:t>年</w:t>
      </w:r>
      <w:r>
        <w:rPr>
          <w:rFonts w:hint="eastAsia" w:ascii="宋体" w:hAnsi="宋体"/>
          <w:sz w:val="24"/>
          <w:lang w:val="en-US" w:eastAsia="zh-CN"/>
        </w:rPr>
        <w:t>2</w:t>
      </w:r>
      <w:r>
        <w:rPr>
          <w:rFonts w:ascii="宋体" w:hAnsi="宋体"/>
          <w:sz w:val="24"/>
        </w:rPr>
        <w:t>月</w:t>
      </w:r>
      <w:r>
        <w:rPr>
          <w:rFonts w:hint="eastAsia" w:ascii="宋体" w:hAnsi="宋体"/>
          <w:sz w:val="24"/>
          <w:lang w:val="en-US" w:eastAsia="zh-CN"/>
        </w:rPr>
        <w:t>9</w:t>
      </w:r>
      <w:r>
        <w:rPr>
          <w:rFonts w:ascii="宋体" w:hAnsi="宋体"/>
          <w:sz w:val="24"/>
        </w:rPr>
        <w:t>日</w:t>
      </w:r>
      <w:r>
        <w:rPr>
          <w:rFonts w:hint="eastAsia" w:ascii="宋体" w:hAnsi="宋体"/>
          <w:sz w:val="24"/>
          <w:lang w:val="en-US" w:eastAsia="zh-CN"/>
        </w:rPr>
        <w:t>9</w:t>
      </w:r>
      <w:r>
        <w:rPr>
          <w:rFonts w:ascii="宋体" w:hAnsi="宋体"/>
          <w:sz w:val="24"/>
        </w:rPr>
        <w:t>时</w:t>
      </w:r>
      <w:r>
        <w:rPr>
          <w:rFonts w:hint="eastAsia" w:ascii="宋体" w:hAnsi="宋体"/>
          <w:sz w:val="24"/>
          <w:lang w:val="en-US" w:eastAsia="zh-CN"/>
        </w:rPr>
        <w:t>30</w:t>
      </w:r>
      <w:r>
        <w:rPr>
          <w:rFonts w:hint="eastAsia" w:ascii="宋体" w:hAnsi="宋体"/>
          <w:sz w:val="24"/>
        </w:rPr>
        <w:t>分</w:t>
      </w:r>
      <w:r>
        <w:rPr>
          <w:rFonts w:ascii="宋体" w:hAnsi="宋体"/>
          <w:bCs/>
          <w:sz w:val="24"/>
        </w:rPr>
        <w:t>（北京时间）</w:t>
      </w:r>
      <w:r>
        <w:rPr>
          <w:rFonts w:ascii="宋体" w:hAnsi="宋体"/>
          <w:iCs/>
          <w:sz w:val="24"/>
        </w:rPr>
        <w:t>。</w:t>
      </w:r>
    </w:p>
    <w:p w14:paraId="08ED726B">
      <w:pPr>
        <w:spacing w:line="360" w:lineRule="auto"/>
        <w:ind w:firstLine="480"/>
        <w:rPr>
          <w:rFonts w:ascii="宋体" w:hAnsi="宋体"/>
          <w:sz w:val="24"/>
          <w:lang w:val="zh-TW"/>
        </w:rPr>
      </w:pPr>
      <w:r>
        <w:rPr>
          <w:rFonts w:ascii="宋体" w:hAnsi="宋体"/>
          <w:sz w:val="24"/>
        </w:rPr>
        <w:t>2</w:t>
      </w:r>
      <w:r>
        <w:rPr>
          <w:rFonts w:hint="eastAsia" w:ascii="宋体" w:hAnsi="宋体"/>
          <w:sz w:val="24"/>
        </w:rPr>
        <w:t>、</w:t>
      </w:r>
      <w:r>
        <w:rPr>
          <w:rFonts w:ascii="宋体" w:hAnsi="宋体"/>
          <w:sz w:val="24"/>
        </w:rPr>
        <w:t>地点：</w:t>
      </w:r>
      <w:r>
        <w:rPr>
          <w:rFonts w:hint="eastAsia" w:ascii="宋体" w:hAnsi="宋体"/>
          <w:sz w:val="24"/>
        </w:rPr>
        <w:t>“苏采云”政府采购一体化平台</w:t>
      </w:r>
    </w:p>
    <w:p w14:paraId="2327C761">
      <w:pPr>
        <w:pStyle w:val="3"/>
        <w:spacing w:before="0" w:line="360" w:lineRule="auto"/>
        <w:ind w:firstLine="482"/>
        <w:jc w:val="left"/>
        <w:rPr>
          <w:rFonts w:ascii="宋体" w:hAnsi="宋体" w:eastAsia="宋体"/>
          <w:sz w:val="24"/>
          <w:szCs w:val="24"/>
        </w:rPr>
      </w:pPr>
      <w:bookmarkStart w:id="48" w:name="_Toc18868"/>
      <w:bookmarkStart w:id="49" w:name="_Toc160609024"/>
      <w:bookmarkStart w:id="50" w:name="_Toc8224"/>
      <w:r>
        <w:rPr>
          <w:rFonts w:hint="eastAsia" w:ascii="宋体" w:hAnsi="宋体" w:eastAsia="宋体"/>
          <w:sz w:val="24"/>
          <w:szCs w:val="24"/>
        </w:rPr>
        <w:t>五、开启</w:t>
      </w:r>
      <w:bookmarkEnd w:id="48"/>
      <w:bookmarkEnd w:id="49"/>
      <w:bookmarkEnd w:id="50"/>
    </w:p>
    <w:p w14:paraId="764C8083">
      <w:pPr>
        <w:spacing w:line="360" w:lineRule="auto"/>
        <w:ind w:firstLine="480"/>
        <w:rPr>
          <w:rFonts w:ascii="宋体" w:hAnsi="宋体"/>
          <w:bCs/>
          <w:sz w:val="24"/>
          <w:u w:val="single"/>
        </w:rPr>
      </w:pPr>
      <w:r>
        <w:rPr>
          <w:rFonts w:hint="eastAsia" w:ascii="宋体" w:hAnsi="宋体"/>
          <w:sz w:val="24"/>
        </w:rPr>
        <w:t>1、开标时间</w:t>
      </w:r>
      <w:r>
        <w:rPr>
          <w:rFonts w:ascii="宋体" w:hAnsi="宋体"/>
          <w:sz w:val="24"/>
        </w:rPr>
        <w:t>：</w:t>
      </w:r>
      <w:r>
        <w:rPr>
          <w:rFonts w:hint="eastAsia" w:ascii="宋体" w:hAnsi="宋体"/>
          <w:sz w:val="24"/>
        </w:rPr>
        <w:t>202</w:t>
      </w:r>
      <w:r>
        <w:rPr>
          <w:rFonts w:hint="eastAsia" w:ascii="宋体" w:hAnsi="宋体"/>
          <w:sz w:val="24"/>
          <w:lang w:val="en-US" w:eastAsia="zh-CN"/>
        </w:rPr>
        <w:t>6</w:t>
      </w:r>
      <w:r>
        <w:rPr>
          <w:rFonts w:ascii="宋体" w:hAnsi="宋体"/>
          <w:sz w:val="24"/>
        </w:rPr>
        <w:t>年</w:t>
      </w:r>
      <w:r>
        <w:rPr>
          <w:rFonts w:hint="eastAsia" w:ascii="宋体" w:hAnsi="宋体"/>
          <w:sz w:val="24"/>
          <w:lang w:val="en-US" w:eastAsia="zh-CN"/>
        </w:rPr>
        <w:t>2</w:t>
      </w:r>
      <w:r>
        <w:rPr>
          <w:rFonts w:ascii="宋体" w:hAnsi="宋体"/>
          <w:sz w:val="24"/>
        </w:rPr>
        <w:t>月</w:t>
      </w:r>
      <w:r>
        <w:rPr>
          <w:rFonts w:hint="eastAsia" w:ascii="宋体" w:hAnsi="宋体"/>
          <w:sz w:val="24"/>
          <w:lang w:val="en-US" w:eastAsia="zh-CN"/>
        </w:rPr>
        <w:t>9</w:t>
      </w:r>
      <w:r>
        <w:rPr>
          <w:rFonts w:ascii="宋体" w:hAnsi="宋体"/>
          <w:sz w:val="24"/>
        </w:rPr>
        <w:t>日</w:t>
      </w:r>
      <w:r>
        <w:rPr>
          <w:rFonts w:hint="eastAsia" w:ascii="宋体" w:hAnsi="宋体"/>
          <w:sz w:val="24"/>
          <w:lang w:val="en-US" w:eastAsia="zh-CN"/>
        </w:rPr>
        <w:t>9</w:t>
      </w:r>
      <w:r>
        <w:rPr>
          <w:rFonts w:ascii="宋体" w:hAnsi="宋体"/>
          <w:sz w:val="24"/>
        </w:rPr>
        <w:t>时</w:t>
      </w:r>
      <w:r>
        <w:rPr>
          <w:rFonts w:hint="eastAsia" w:ascii="宋体" w:hAnsi="宋体"/>
          <w:sz w:val="24"/>
          <w:lang w:val="en-US" w:eastAsia="zh-CN"/>
        </w:rPr>
        <w:t>30</w:t>
      </w:r>
      <w:r>
        <w:rPr>
          <w:rFonts w:hint="eastAsia" w:ascii="宋体" w:hAnsi="宋体"/>
          <w:sz w:val="24"/>
        </w:rPr>
        <w:t>分</w:t>
      </w:r>
      <w:r>
        <w:rPr>
          <w:rFonts w:ascii="宋体" w:hAnsi="宋体"/>
          <w:bCs/>
          <w:sz w:val="24"/>
        </w:rPr>
        <w:t>（北京时间）</w:t>
      </w:r>
      <w:r>
        <w:rPr>
          <w:rFonts w:ascii="宋体" w:hAnsi="宋体"/>
          <w:iCs/>
          <w:sz w:val="24"/>
        </w:rPr>
        <w:t>。</w:t>
      </w:r>
    </w:p>
    <w:p w14:paraId="4FFA1D5F">
      <w:pPr>
        <w:spacing w:line="360" w:lineRule="auto"/>
        <w:ind w:firstLine="480"/>
        <w:rPr>
          <w:rFonts w:ascii="宋体" w:hAnsi="宋体"/>
          <w:b/>
          <w:sz w:val="24"/>
        </w:rPr>
      </w:pPr>
      <w:r>
        <w:rPr>
          <w:rFonts w:ascii="宋体" w:hAnsi="宋体"/>
          <w:sz w:val="24"/>
        </w:rPr>
        <w:t>2</w:t>
      </w:r>
      <w:r>
        <w:rPr>
          <w:rFonts w:hint="eastAsia" w:ascii="宋体" w:hAnsi="宋体"/>
          <w:sz w:val="24"/>
        </w:rPr>
        <w:t>、</w:t>
      </w:r>
      <w:r>
        <w:rPr>
          <w:rFonts w:ascii="宋体" w:hAnsi="宋体"/>
          <w:sz w:val="24"/>
        </w:rPr>
        <w:t>地点：</w:t>
      </w:r>
      <w:r>
        <w:rPr>
          <w:rFonts w:hint="eastAsia" w:ascii="宋体" w:hAnsi="宋体"/>
          <w:sz w:val="24"/>
        </w:rPr>
        <w:t>“苏采云”政府采购一体化平台</w:t>
      </w:r>
    </w:p>
    <w:bookmarkEnd w:id="42"/>
    <w:bookmarkEnd w:id="47"/>
    <w:p w14:paraId="4A3FD9B7">
      <w:pPr>
        <w:pStyle w:val="3"/>
        <w:spacing w:before="0" w:line="360" w:lineRule="auto"/>
        <w:ind w:firstLine="482"/>
        <w:jc w:val="left"/>
        <w:rPr>
          <w:rFonts w:ascii="宋体" w:hAnsi="宋体" w:eastAsia="宋体"/>
          <w:sz w:val="24"/>
          <w:szCs w:val="24"/>
        </w:rPr>
      </w:pPr>
      <w:bookmarkStart w:id="51" w:name="_Toc152678537"/>
      <w:bookmarkStart w:id="52" w:name="_Toc24806"/>
      <w:bookmarkStart w:id="53" w:name="_Toc103"/>
      <w:bookmarkStart w:id="54" w:name="_Toc152678618"/>
      <w:bookmarkStart w:id="55" w:name="_Toc160609025"/>
      <w:r>
        <w:rPr>
          <w:rFonts w:hint="eastAsia" w:ascii="宋体" w:hAnsi="宋体" w:eastAsia="宋体"/>
          <w:sz w:val="24"/>
          <w:szCs w:val="24"/>
        </w:rPr>
        <w:t>六</w:t>
      </w:r>
      <w:r>
        <w:rPr>
          <w:rFonts w:ascii="宋体" w:hAnsi="宋体" w:eastAsia="宋体"/>
          <w:sz w:val="24"/>
          <w:szCs w:val="24"/>
        </w:rPr>
        <w:t>、公告期限</w:t>
      </w:r>
      <w:bookmarkEnd w:id="43"/>
      <w:bookmarkEnd w:id="44"/>
      <w:bookmarkEnd w:id="45"/>
      <w:bookmarkEnd w:id="46"/>
      <w:bookmarkEnd w:id="51"/>
      <w:bookmarkEnd w:id="52"/>
      <w:bookmarkEnd w:id="53"/>
      <w:bookmarkEnd w:id="54"/>
      <w:bookmarkEnd w:id="55"/>
    </w:p>
    <w:p w14:paraId="38A402A7">
      <w:pPr>
        <w:spacing w:line="360" w:lineRule="auto"/>
        <w:ind w:firstLine="480"/>
        <w:rPr>
          <w:rFonts w:ascii="宋体" w:hAnsi="宋体"/>
          <w:sz w:val="24"/>
        </w:rPr>
      </w:pPr>
      <w:r>
        <w:rPr>
          <w:rFonts w:ascii="宋体" w:hAnsi="宋体"/>
          <w:sz w:val="24"/>
        </w:rPr>
        <w:t>自本公告发布之日起3个工作日。</w:t>
      </w:r>
    </w:p>
    <w:p w14:paraId="082EA559">
      <w:pPr>
        <w:pStyle w:val="3"/>
        <w:spacing w:before="0" w:line="360" w:lineRule="auto"/>
        <w:ind w:firstLine="482"/>
        <w:jc w:val="left"/>
        <w:rPr>
          <w:rFonts w:ascii="宋体" w:hAnsi="宋体" w:eastAsia="宋体"/>
          <w:sz w:val="24"/>
          <w:szCs w:val="24"/>
        </w:rPr>
      </w:pPr>
      <w:bookmarkStart w:id="56" w:name="_Toc15583"/>
      <w:bookmarkStart w:id="57" w:name="_Toc6897"/>
      <w:bookmarkStart w:id="58" w:name="_Toc152678619"/>
      <w:bookmarkStart w:id="59" w:name="_Toc152678538"/>
      <w:bookmarkStart w:id="60" w:name="_Toc35393795"/>
      <w:bookmarkStart w:id="61" w:name="_Toc35393626"/>
      <w:bookmarkStart w:id="62" w:name="_Toc160609026"/>
      <w:r>
        <w:rPr>
          <w:rFonts w:hint="eastAsia" w:ascii="宋体" w:hAnsi="宋体" w:eastAsia="宋体"/>
          <w:sz w:val="24"/>
          <w:szCs w:val="24"/>
        </w:rPr>
        <w:t>七</w:t>
      </w:r>
      <w:r>
        <w:rPr>
          <w:rFonts w:ascii="宋体" w:hAnsi="宋体" w:eastAsia="宋体"/>
          <w:sz w:val="24"/>
          <w:szCs w:val="24"/>
        </w:rPr>
        <w:t>、其他补充事宜</w:t>
      </w:r>
      <w:bookmarkEnd w:id="56"/>
      <w:bookmarkEnd w:id="57"/>
      <w:bookmarkEnd w:id="58"/>
      <w:bookmarkEnd w:id="59"/>
      <w:bookmarkEnd w:id="60"/>
      <w:bookmarkEnd w:id="61"/>
      <w:bookmarkEnd w:id="62"/>
    </w:p>
    <w:p w14:paraId="17A0670B">
      <w:pPr>
        <w:spacing w:line="360" w:lineRule="auto"/>
        <w:ind w:firstLine="482"/>
        <w:rPr>
          <w:rFonts w:ascii="宋体" w:hAnsi="宋体"/>
          <w:sz w:val="24"/>
        </w:rPr>
      </w:pPr>
      <w:bookmarkStart w:id="63" w:name="_Toc152678539"/>
      <w:bookmarkStart w:id="64" w:name="_Toc35393627"/>
      <w:bookmarkStart w:id="65" w:name="_Toc152678620"/>
      <w:bookmarkStart w:id="66" w:name="_Toc28359085"/>
      <w:bookmarkStart w:id="67" w:name="_Toc28359008"/>
      <w:bookmarkStart w:id="68" w:name="_Toc160609027"/>
      <w:bookmarkStart w:id="69" w:name="_Toc35393796"/>
      <w:r>
        <w:rPr>
          <w:rFonts w:hint="eastAsia" w:ascii="宋体" w:hAnsi="宋体"/>
          <w:b/>
          <w:bCs/>
          <w:sz w:val="24"/>
        </w:rPr>
        <w:t>1、磋商保证金：</w:t>
      </w:r>
      <w:r>
        <w:rPr>
          <w:rFonts w:hint="eastAsia" w:ascii="宋体" w:hAnsi="宋体"/>
          <w:sz w:val="24"/>
        </w:rPr>
        <w:t>无需缴纳。</w:t>
      </w:r>
    </w:p>
    <w:p w14:paraId="32A3465A">
      <w:pPr>
        <w:spacing w:line="360" w:lineRule="auto"/>
        <w:ind w:firstLine="482"/>
        <w:rPr>
          <w:rFonts w:ascii="宋体" w:hAnsi="宋体"/>
          <w:sz w:val="24"/>
        </w:rPr>
      </w:pPr>
      <w:r>
        <w:rPr>
          <w:rFonts w:hint="eastAsia" w:ascii="宋体" w:hAnsi="宋体"/>
          <w:b/>
          <w:bCs/>
          <w:sz w:val="24"/>
        </w:rPr>
        <w:t>2</w:t>
      </w:r>
      <w:bookmarkStart w:id="70" w:name="_Hlk150161828"/>
      <w:r>
        <w:rPr>
          <w:rFonts w:hint="eastAsia" w:ascii="宋体" w:hAnsi="宋体"/>
          <w:b/>
          <w:bCs/>
          <w:sz w:val="24"/>
        </w:rPr>
        <w:t>、CA办理注意事项：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70"/>
    </w:p>
    <w:p w14:paraId="6733B214">
      <w:pPr>
        <w:spacing w:line="360" w:lineRule="auto"/>
        <w:ind w:firstLine="482"/>
        <w:rPr>
          <w:rFonts w:ascii="宋体" w:hAnsi="宋体"/>
          <w:sz w:val="24"/>
        </w:rPr>
      </w:pPr>
      <w:r>
        <w:rPr>
          <w:rFonts w:hint="eastAsia" w:ascii="宋体" w:hAnsi="宋体"/>
          <w:b/>
          <w:bCs/>
          <w:sz w:val="24"/>
        </w:rPr>
        <w:t>3、采购文件获取注意事项：</w:t>
      </w:r>
      <w:r>
        <w:rPr>
          <w:rFonts w:hint="eastAsia" w:ascii="宋体" w:hAnsi="宋体"/>
          <w:sz w:val="24"/>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04E17F3">
      <w:pPr>
        <w:spacing w:line="360" w:lineRule="auto"/>
        <w:ind w:firstLine="482"/>
        <w:rPr>
          <w:rFonts w:ascii="宋体" w:hAnsi="宋体"/>
          <w:sz w:val="24"/>
        </w:rPr>
      </w:pPr>
      <w:r>
        <w:rPr>
          <w:rFonts w:hint="eastAsia" w:ascii="宋体" w:hAnsi="宋体"/>
          <w:b/>
          <w:bCs/>
          <w:sz w:val="24"/>
        </w:rPr>
        <w:t>4、关于常州市中小企业政府采购信用融资：</w:t>
      </w:r>
      <w:r>
        <w:rPr>
          <w:rFonts w:hint="eastAsia" w:ascii="宋体" w:hAnsi="宋体"/>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038B488">
      <w:pPr>
        <w:spacing w:line="360" w:lineRule="auto"/>
        <w:ind w:firstLine="482"/>
        <w:rPr>
          <w:rFonts w:ascii="宋体" w:hAnsi="宋体"/>
          <w:b/>
          <w:bCs/>
          <w:sz w:val="24"/>
        </w:rPr>
      </w:pPr>
      <w:r>
        <w:rPr>
          <w:rFonts w:hint="eastAsia" w:ascii="宋体" w:hAnsi="宋体"/>
          <w:b/>
          <w:bCs/>
          <w:sz w:val="24"/>
        </w:rPr>
        <w:t>5、采购公告内容与采购文件不一致的，以采购文件为准。</w:t>
      </w:r>
    </w:p>
    <w:p w14:paraId="270BAC15">
      <w:pPr>
        <w:pStyle w:val="3"/>
        <w:spacing w:before="0" w:line="360" w:lineRule="auto"/>
        <w:ind w:firstLine="482"/>
        <w:jc w:val="left"/>
        <w:rPr>
          <w:rFonts w:ascii="宋体" w:hAnsi="宋体" w:eastAsia="宋体"/>
          <w:sz w:val="24"/>
          <w:szCs w:val="24"/>
        </w:rPr>
      </w:pPr>
      <w:bookmarkStart w:id="71" w:name="_Toc17825"/>
      <w:bookmarkStart w:id="72" w:name="_Toc1080"/>
      <w:r>
        <w:rPr>
          <w:rFonts w:hint="eastAsia" w:ascii="宋体" w:hAnsi="宋体" w:eastAsia="宋体"/>
          <w:sz w:val="24"/>
          <w:szCs w:val="24"/>
        </w:rPr>
        <w:t>八</w:t>
      </w:r>
      <w:r>
        <w:rPr>
          <w:rFonts w:ascii="宋体" w:hAnsi="宋体" w:eastAsia="宋体"/>
          <w:sz w:val="24"/>
          <w:szCs w:val="24"/>
        </w:rPr>
        <w:t>、对本项目提出询问，请按以下方式联系。</w:t>
      </w:r>
      <w:bookmarkEnd w:id="63"/>
      <w:bookmarkEnd w:id="64"/>
      <w:bookmarkEnd w:id="65"/>
      <w:bookmarkEnd w:id="66"/>
      <w:bookmarkEnd w:id="67"/>
      <w:bookmarkEnd w:id="68"/>
      <w:bookmarkEnd w:id="69"/>
      <w:bookmarkEnd w:id="71"/>
      <w:bookmarkEnd w:id="72"/>
    </w:p>
    <w:p w14:paraId="4A295DC7">
      <w:pPr>
        <w:spacing w:line="360" w:lineRule="auto"/>
        <w:ind w:left="1076" w:leftChars="371" w:hanging="297" w:hangingChars="124"/>
        <w:jc w:val="left"/>
        <w:rPr>
          <w:sz w:val="24"/>
        </w:rPr>
      </w:pPr>
      <w:bookmarkStart w:id="73" w:name="_Toc28359087"/>
      <w:bookmarkStart w:id="74" w:name="_Toc28359010"/>
      <w:r>
        <w:rPr>
          <w:sz w:val="24"/>
        </w:rPr>
        <w:t>1.采购人信息</w:t>
      </w:r>
    </w:p>
    <w:p w14:paraId="6DA3123A">
      <w:pPr>
        <w:spacing w:line="360" w:lineRule="auto"/>
        <w:ind w:left="1076" w:leftChars="371" w:hanging="297" w:hangingChars="124"/>
        <w:jc w:val="left"/>
        <w:rPr>
          <w:sz w:val="24"/>
        </w:rPr>
      </w:pPr>
      <w:bookmarkStart w:id="75" w:name="_Toc28359009"/>
      <w:bookmarkStart w:id="76" w:name="_Toc28359086"/>
      <w:r>
        <w:rPr>
          <w:sz w:val="24"/>
        </w:rPr>
        <w:t>名    称：</w:t>
      </w:r>
      <w:r>
        <w:rPr>
          <w:rFonts w:hint="eastAsia"/>
          <w:sz w:val="24"/>
        </w:rPr>
        <w:t>江苏常州经济开发区市场监督管理局</w:t>
      </w:r>
    </w:p>
    <w:p w14:paraId="5C7F9F86">
      <w:pPr>
        <w:spacing w:line="360" w:lineRule="auto"/>
        <w:ind w:left="1076" w:leftChars="371" w:hanging="297" w:hangingChars="124"/>
        <w:jc w:val="left"/>
        <w:rPr>
          <w:sz w:val="24"/>
        </w:rPr>
      </w:pPr>
      <w:r>
        <w:rPr>
          <w:sz w:val="24"/>
        </w:rPr>
        <w:t>地    址：</w:t>
      </w:r>
      <w:r>
        <w:rPr>
          <w:rFonts w:hint="eastAsia"/>
          <w:sz w:val="24"/>
        </w:rPr>
        <w:t>常州市东方东路1</w:t>
      </w:r>
      <w:r>
        <w:rPr>
          <w:sz w:val="24"/>
        </w:rPr>
        <w:t>68</w:t>
      </w:r>
      <w:r>
        <w:rPr>
          <w:rFonts w:hint="eastAsia"/>
          <w:sz w:val="24"/>
        </w:rPr>
        <w:t>号</w:t>
      </w:r>
    </w:p>
    <w:p w14:paraId="6722D431">
      <w:pPr>
        <w:spacing w:line="360" w:lineRule="auto"/>
        <w:ind w:left="1076" w:leftChars="371" w:hanging="297" w:hangingChars="124"/>
        <w:jc w:val="left"/>
        <w:rPr>
          <w:rFonts w:hint="default" w:eastAsia="宋体"/>
          <w:sz w:val="24"/>
          <w:highlight w:val="none"/>
          <w:lang w:val="en-US" w:eastAsia="zh-CN"/>
        </w:rPr>
      </w:pPr>
      <w:r>
        <w:rPr>
          <w:sz w:val="24"/>
          <w:highlight w:val="none"/>
        </w:rPr>
        <w:t>联系方式：</w:t>
      </w:r>
      <w:r>
        <w:rPr>
          <w:rFonts w:hint="eastAsia"/>
          <w:sz w:val="24"/>
          <w:highlight w:val="none"/>
          <w:lang w:val="en-US" w:eastAsia="zh-CN"/>
        </w:rPr>
        <w:t>钱先生 89863338</w:t>
      </w:r>
    </w:p>
    <w:p w14:paraId="14BF6BDB">
      <w:pPr>
        <w:spacing w:line="360" w:lineRule="auto"/>
        <w:ind w:left="1076" w:leftChars="371" w:hanging="297" w:hangingChars="124"/>
        <w:jc w:val="left"/>
        <w:rPr>
          <w:sz w:val="24"/>
        </w:rPr>
      </w:pPr>
      <w:r>
        <w:rPr>
          <w:sz w:val="24"/>
        </w:rPr>
        <w:t>2.采购代理机构信息</w:t>
      </w:r>
      <w:bookmarkEnd w:id="75"/>
      <w:bookmarkEnd w:id="76"/>
    </w:p>
    <w:p w14:paraId="4316CCA3">
      <w:pPr>
        <w:spacing w:line="360" w:lineRule="auto"/>
        <w:ind w:left="1076" w:leftChars="371" w:hanging="297" w:hangingChars="124"/>
        <w:jc w:val="left"/>
        <w:rPr>
          <w:rFonts w:hint="eastAsia" w:eastAsia="宋体"/>
          <w:sz w:val="24"/>
          <w:lang w:eastAsia="zh-CN"/>
        </w:rPr>
      </w:pPr>
      <w:r>
        <w:rPr>
          <w:sz w:val="24"/>
        </w:rPr>
        <w:t>名    称：</w:t>
      </w:r>
      <w:r>
        <w:rPr>
          <w:rFonts w:hint="eastAsia"/>
          <w:sz w:val="24"/>
          <w:lang w:eastAsia="zh-CN"/>
        </w:rPr>
        <w:t>常州市嘉亿工程咨询有限公司</w:t>
      </w:r>
    </w:p>
    <w:p w14:paraId="1FE3EEC0">
      <w:pPr>
        <w:spacing w:line="360" w:lineRule="auto"/>
        <w:ind w:left="1076" w:leftChars="371" w:hanging="297" w:hangingChars="124"/>
        <w:jc w:val="left"/>
        <w:rPr>
          <w:rFonts w:hint="eastAsia"/>
          <w:sz w:val="24"/>
          <w:highlight w:val="none"/>
          <w:lang w:val="en-US" w:eastAsia="zh-CN"/>
        </w:rPr>
      </w:pPr>
      <w:r>
        <w:rPr>
          <w:sz w:val="24"/>
        </w:rPr>
        <w:t>地    址：</w:t>
      </w:r>
      <w:r>
        <w:rPr>
          <w:rFonts w:hint="eastAsia"/>
          <w:sz w:val="24"/>
          <w:highlight w:val="none"/>
          <w:lang w:val="en-US" w:eastAsia="zh-CN"/>
        </w:rPr>
        <w:t>常州科教城530大道西50米</w:t>
      </w:r>
    </w:p>
    <w:p w14:paraId="566BA4BE">
      <w:pPr>
        <w:spacing w:line="360" w:lineRule="auto"/>
        <w:ind w:left="1076" w:leftChars="371" w:hanging="297" w:hangingChars="124"/>
        <w:jc w:val="left"/>
        <w:rPr>
          <w:rFonts w:hint="default" w:eastAsia="宋体"/>
          <w:sz w:val="24"/>
          <w:lang w:val="en-US" w:eastAsia="zh-CN"/>
        </w:rPr>
      </w:pPr>
      <w:r>
        <w:rPr>
          <w:sz w:val="24"/>
        </w:rPr>
        <w:t>联系方式：</w:t>
      </w:r>
      <w:r>
        <w:rPr>
          <w:rFonts w:hint="eastAsia"/>
          <w:sz w:val="24"/>
          <w:lang w:val="en-US" w:eastAsia="zh-CN"/>
        </w:rPr>
        <w:t>13775010171</w:t>
      </w:r>
    </w:p>
    <w:p w14:paraId="04F6117D">
      <w:pPr>
        <w:spacing w:line="360" w:lineRule="auto"/>
        <w:ind w:left="1076" w:leftChars="371" w:hanging="297" w:hangingChars="124"/>
        <w:jc w:val="left"/>
        <w:rPr>
          <w:sz w:val="24"/>
        </w:rPr>
      </w:pPr>
      <w:r>
        <w:rPr>
          <w:sz w:val="24"/>
        </w:rPr>
        <w:t>3.项目联系方式</w:t>
      </w:r>
    </w:p>
    <w:p w14:paraId="5AFD9A1A">
      <w:pPr>
        <w:spacing w:line="360" w:lineRule="auto"/>
        <w:ind w:left="1076" w:leftChars="371" w:hanging="297" w:hangingChars="124"/>
        <w:jc w:val="left"/>
        <w:rPr>
          <w:rFonts w:hint="eastAsia" w:eastAsia="宋体"/>
          <w:sz w:val="24"/>
          <w:lang w:val="en-US" w:eastAsia="zh-CN"/>
        </w:rPr>
      </w:pPr>
      <w:r>
        <w:rPr>
          <w:rFonts w:hint="default"/>
          <w:sz w:val="24"/>
        </w:rPr>
        <w:t>项目联系人：</w:t>
      </w:r>
      <w:r>
        <w:rPr>
          <w:rFonts w:hint="eastAsia"/>
          <w:sz w:val="24"/>
          <w:lang w:val="en-US" w:eastAsia="zh-CN"/>
        </w:rPr>
        <w:t>冯工</w:t>
      </w:r>
    </w:p>
    <w:p w14:paraId="70C88582">
      <w:pPr>
        <w:spacing w:line="360" w:lineRule="auto"/>
        <w:ind w:left="1076" w:leftChars="371" w:hanging="297" w:hangingChars="124"/>
        <w:jc w:val="left"/>
        <w:rPr>
          <w:rFonts w:hint="default" w:eastAsia="宋体"/>
          <w:sz w:val="24"/>
          <w:lang w:val="en-US" w:eastAsia="zh-CN"/>
        </w:rPr>
      </w:pPr>
      <w:r>
        <w:rPr>
          <w:rFonts w:hint="default"/>
          <w:sz w:val="24"/>
        </w:rPr>
        <w:t>电      话：</w:t>
      </w:r>
      <w:r>
        <w:rPr>
          <w:rFonts w:hint="eastAsia"/>
          <w:sz w:val="24"/>
          <w:lang w:val="en-US" w:eastAsia="zh-CN"/>
        </w:rPr>
        <w:t>13775010171</w:t>
      </w:r>
    </w:p>
    <w:p w14:paraId="3743E05E">
      <w:pPr>
        <w:widowControl/>
        <w:spacing w:line="360" w:lineRule="auto"/>
        <w:jc w:val="left"/>
        <w:rPr>
          <w:rFonts w:ascii="宋体" w:hAnsi="宋体"/>
          <w:sz w:val="24"/>
          <w:lang w:eastAsia="zh-TW"/>
        </w:rPr>
      </w:pPr>
    </w:p>
    <w:p w14:paraId="1978AEC0">
      <w:pPr>
        <w:widowControl/>
        <w:spacing w:line="360" w:lineRule="auto"/>
        <w:jc w:val="left"/>
        <w:rPr>
          <w:rFonts w:ascii="宋体" w:hAnsi="宋体" w:eastAsia="PMingLiU"/>
          <w:sz w:val="24"/>
          <w:lang w:eastAsia="zh-TW"/>
        </w:rPr>
      </w:pPr>
    </w:p>
    <w:p w14:paraId="0BAC0A11">
      <w:pPr>
        <w:widowControl/>
        <w:spacing w:line="360" w:lineRule="auto"/>
        <w:jc w:val="left"/>
        <w:rPr>
          <w:rFonts w:ascii="宋体" w:hAnsi="宋体" w:eastAsia="PMingLiU"/>
          <w:sz w:val="24"/>
          <w:lang w:eastAsia="zh-TW"/>
        </w:rPr>
      </w:pPr>
    </w:p>
    <w:p w14:paraId="2FE142E9">
      <w:pPr>
        <w:widowControl/>
        <w:spacing w:line="360" w:lineRule="auto"/>
        <w:jc w:val="left"/>
        <w:rPr>
          <w:rFonts w:ascii="宋体" w:hAnsi="宋体" w:eastAsia="PMingLiU"/>
          <w:sz w:val="24"/>
          <w:lang w:eastAsia="zh-TW"/>
        </w:rPr>
      </w:pPr>
    </w:p>
    <w:p w14:paraId="3B85A734">
      <w:pPr>
        <w:widowControl/>
        <w:spacing w:line="360" w:lineRule="auto"/>
        <w:jc w:val="left"/>
        <w:rPr>
          <w:rFonts w:ascii="宋体" w:hAnsi="宋体" w:eastAsia="PMingLiU"/>
          <w:sz w:val="24"/>
          <w:lang w:eastAsia="zh-TW"/>
        </w:rPr>
      </w:pPr>
    </w:p>
    <w:p w14:paraId="040CA686">
      <w:pPr>
        <w:widowControl/>
        <w:spacing w:line="360" w:lineRule="auto"/>
        <w:jc w:val="left"/>
        <w:rPr>
          <w:rFonts w:ascii="宋体" w:hAnsi="宋体" w:eastAsia="PMingLiU"/>
          <w:sz w:val="24"/>
          <w:lang w:eastAsia="zh-TW"/>
        </w:rPr>
      </w:pPr>
    </w:p>
    <w:p w14:paraId="36461D0F">
      <w:pPr>
        <w:widowControl/>
        <w:spacing w:line="360" w:lineRule="auto"/>
        <w:jc w:val="left"/>
        <w:rPr>
          <w:rFonts w:ascii="宋体" w:hAnsi="宋体" w:eastAsia="PMingLiU"/>
          <w:sz w:val="24"/>
          <w:lang w:eastAsia="zh-TW"/>
        </w:rPr>
      </w:pPr>
    </w:p>
    <w:p w14:paraId="3084A839">
      <w:pPr>
        <w:widowControl/>
        <w:spacing w:line="360" w:lineRule="auto"/>
        <w:jc w:val="left"/>
        <w:rPr>
          <w:rFonts w:ascii="宋体" w:hAnsi="宋体" w:eastAsia="PMingLiU"/>
          <w:sz w:val="24"/>
          <w:lang w:eastAsia="zh-TW"/>
        </w:rPr>
      </w:pPr>
    </w:p>
    <w:p w14:paraId="15B149FE">
      <w:pPr>
        <w:widowControl/>
        <w:spacing w:line="360" w:lineRule="auto"/>
        <w:jc w:val="left"/>
        <w:rPr>
          <w:rFonts w:ascii="宋体" w:hAnsi="宋体" w:eastAsia="PMingLiU"/>
          <w:sz w:val="24"/>
          <w:lang w:eastAsia="zh-TW"/>
        </w:rPr>
      </w:pPr>
    </w:p>
    <w:p w14:paraId="56480A4F">
      <w:pPr>
        <w:widowControl/>
        <w:spacing w:line="360" w:lineRule="auto"/>
        <w:jc w:val="left"/>
        <w:rPr>
          <w:rFonts w:ascii="宋体" w:hAnsi="宋体" w:eastAsia="PMingLiU"/>
          <w:sz w:val="24"/>
          <w:lang w:eastAsia="zh-TW"/>
        </w:rPr>
      </w:pPr>
    </w:p>
    <w:p w14:paraId="290D600B">
      <w:pPr>
        <w:widowControl/>
        <w:spacing w:line="360" w:lineRule="auto"/>
        <w:jc w:val="left"/>
        <w:rPr>
          <w:rFonts w:ascii="宋体" w:hAnsi="宋体" w:eastAsia="PMingLiU"/>
          <w:sz w:val="24"/>
          <w:lang w:eastAsia="zh-TW"/>
        </w:rPr>
      </w:pPr>
    </w:p>
    <w:p w14:paraId="3CC60D64">
      <w:pPr>
        <w:widowControl/>
        <w:spacing w:line="360" w:lineRule="auto"/>
        <w:jc w:val="left"/>
        <w:rPr>
          <w:rFonts w:ascii="宋体" w:hAnsi="宋体" w:eastAsia="PMingLiU"/>
          <w:sz w:val="24"/>
          <w:lang w:eastAsia="zh-TW"/>
        </w:rPr>
      </w:pPr>
    </w:p>
    <w:p w14:paraId="5F2E2FA6">
      <w:pPr>
        <w:widowControl/>
        <w:spacing w:line="360" w:lineRule="auto"/>
        <w:jc w:val="left"/>
        <w:rPr>
          <w:rFonts w:ascii="宋体" w:hAnsi="宋体" w:eastAsia="PMingLiU"/>
          <w:sz w:val="24"/>
          <w:lang w:eastAsia="zh-TW"/>
        </w:rPr>
      </w:pPr>
    </w:p>
    <w:p w14:paraId="5F9DFD0D">
      <w:pPr>
        <w:widowControl/>
        <w:spacing w:line="360" w:lineRule="auto"/>
        <w:jc w:val="left"/>
        <w:rPr>
          <w:rFonts w:ascii="宋体" w:hAnsi="宋体" w:eastAsia="PMingLiU"/>
          <w:sz w:val="24"/>
          <w:lang w:eastAsia="zh-TW"/>
        </w:rPr>
      </w:pPr>
    </w:p>
    <w:p w14:paraId="0B59B679">
      <w:pPr>
        <w:widowControl/>
        <w:spacing w:line="360" w:lineRule="auto"/>
        <w:jc w:val="left"/>
        <w:rPr>
          <w:rFonts w:ascii="宋体" w:hAnsi="宋体"/>
          <w:sz w:val="24"/>
          <w:lang w:eastAsia="zh-TW"/>
        </w:rPr>
      </w:pPr>
    </w:p>
    <w:bookmarkEnd w:id="73"/>
    <w:bookmarkEnd w:id="74"/>
    <w:p w14:paraId="62E3718F">
      <w:pPr>
        <w:rPr>
          <w:rFonts w:ascii="宋体" w:hAnsi="宋体"/>
          <w:b/>
          <w:sz w:val="36"/>
          <w:szCs w:val="36"/>
        </w:rPr>
      </w:pPr>
      <w:bookmarkStart w:id="77" w:name="_Toc353825548"/>
      <w:bookmarkStart w:id="78" w:name="_Toc305158854"/>
      <w:bookmarkStart w:id="79" w:name="_Toc127151777"/>
      <w:bookmarkStart w:id="80" w:name="_Toc353873938"/>
      <w:bookmarkStart w:id="81" w:name="_Toc305158928"/>
      <w:bookmarkStart w:id="82" w:name="_Toc4438"/>
      <w:bookmarkStart w:id="83" w:name="_Toc150774783"/>
      <w:bookmarkStart w:id="84" w:name="_Toc195842950"/>
      <w:bookmarkStart w:id="85" w:name="_Toc226965856"/>
      <w:bookmarkStart w:id="86" w:name="_Toc512937850"/>
      <w:bookmarkStart w:id="87" w:name="_Toc127161488"/>
      <w:bookmarkStart w:id="88" w:name="_Toc265228423"/>
      <w:bookmarkStart w:id="89" w:name="_Toc104818926"/>
      <w:bookmarkStart w:id="90" w:name="_Toc264969275"/>
      <w:r>
        <w:rPr>
          <w:rFonts w:ascii="宋体" w:hAnsi="宋体"/>
          <w:b/>
          <w:sz w:val="36"/>
          <w:szCs w:val="36"/>
        </w:rPr>
        <w:br w:type="page"/>
      </w:r>
    </w:p>
    <w:p w14:paraId="4B31C412">
      <w:pPr>
        <w:spacing w:line="360" w:lineRule="auto"/>
        <w:jc w:val="center"/>
        <w:outlineLvl w:val="0"/>
        <w:rPr>
          <w:rFonts w:ascii="宋体" w:hAnsi="宋体"/>
          <w:b/>
          <w:sz w:val="32"/>
          <w:szCs w:val="32"/>
        </w:rPr>
      </w:pPr>
      <w:r>
        <w:rPr>
          <w:rFonts w:ascii="宋体" w:hAnsi="宋体"/>
          <w:b/>
          <w:sz w:val="36"/>
          <w:szCs w:val="36"/>
        </w:rPr>
        <w:t>第二章   供应商须知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5EEE80A3">
      <w:pPr>
        <w:pStyle w:val="3"/>
        <w:tabs>
          <w:tab w:val="center" w:pos="4592"/>
          <w:tab w:val="left" w:pos="7860"/>
        </w:tabs>
        <w:spacing w:before="0" w:line="360" w:lineRule="auto"/>
        <w:rPr>
          <w:rFonts w:ascii="宋体" w:hAnsi="宋体" w:eastAsia="宋体"/>
          <w:sz w:val="28"/>
        </w:rPr>
      </w:pPr>
      <w:bookmarkStart w:id="91" w:name="_Toc23260"/>
      <w:bookmarkStart w:id="92" w:name="_Toc18352"/>
      <w:bookmarkStart w:id="93" w:name="_Toc160609029"/>
      <w:bookmarkStart w:id="94" w:name="_Toc152678541"/>
      <w:bookmarkStart w:id="95" w:name="_Toc152678622"/>
      <w:bookmarkStart w:id="96" w:name="_Toc151193689"/>
      <w:bookmarkStart w:id="97" w:name="_Toc226965709"/>
      <w:bookmarkStart w:id="98" w:name="_Toc226965792"/>
      <w:bookmarkStart w:id="99" w:name="_Toc195842884"/>
      <w:bookmarkStart w:id="100" w:name="_Toc151193907"/>
      <w:bookmarkStart w:id="101" w:name="_Toc151193617"/>
      <w:bookmarkStart w:id="102" w:name="_Toc151193833"/>
      <w:bookmarkStart w:id="103" w:name="_Toc127151720"/>
      <w:bookmarkStart w:id="104" w:name="_Toc127161433"/>
      <w:bookmarkStart w:id="105" w:name="_Toc150774619"/>
      <w:bookmarkStart w:id="106" w:name="_Toc127151519"/>
      <w:bookmarkStart w:id="107" w:name="_Toc151190146"/>
      <w:bookmarkStart w:id="108" w:name="_Toc226337215"/>
      <w:bookmarkStart w:id="109" w:name="_Toc164608633"/>
      <w:bookmarkStart w:id="110" w:name="_Toc150774724"/>
      <w:bookmarkStart w:id="111" w:name="_Toc151193761"/>
      <w:bookmarkStart w:id="112" w:name="_Toc164229214"/>
      <w:bookmarkStart w:id="113" w:name="_Toc164229360"/>
      <w:bookmarkStart w:id="114" w:name="_Toc226309763"/>
      <w:bookmarkStart w:id="115" w:name="_Toc149720812"/>
      <w:bookmarkStart w:id="116" w:name="_Toc520356144"/>
      <w:bookmarkStart w:id="117" w:name="_Toc150509270"/>
      <w:bookmarkStart w:id="118" w:name="_Toc150480757"/>
      <w:bookmarkStart w:id="119" w:name="_Toc142311021"/>
      <w:bookmarkStart w:id="120" w:name="_Toc164351613"/>
      <w:bookmarkStart w:id="121" w:name="_Toc164608788"/>
      <w:r>
        <w:rPr>
          <w:rFonts w:ascii="宋体" w:hAnsi="宋体" w:eastAsia="宋体"/>
          <w:sz w:val="28"/>
        </w:rPr>
        <w:t>第一节供应商须知资料表</w:t>
      </w:r>
      <w:bookmarkEnd w:id="91"/>
      <w:bookmarkEnd w:id="92"/>
      <w:bookmarkEnd w:id="93"/>
      <w:bookmarkEnd w:id="94"/>
      <w:bookmarkEnd w:id="95"/>
    </w:p>
    <w:p w14:paraId="476C9E1F">
      <w:pPr>
        <w:spacing w:line="360" w:lineRule="auto"/>
        <w:ind w:firstLine="480"/>
        <w:rPr>
          <w:rFonts w:ascii="宋体" w:hAnsi="宋体"/>
          <w:sz w:val="24"/>
        </w:rPr>
      </w:pPr>
      <w:bookmarkStart w:id="122" w:name="_Hlk112020831"/>
      <w:r>
        <w:rPr>
          <w:rFonts w:ascii="宋体" w:hAnsi="宋体"/>
          <w:sz w:val="24"/>
        </w:rPr>
        <w:t>本表是对供应商须知的具体补充和修改，如有矛盾，均以本资料表为准。标记“</w:t>
      </w:r>
      <w:r>
        <w:rPr>
          <w:rFonts w:ascii="宋体" w:hAnsi="宋体"/>
          <w:b/>
          <w:sz w:val="24"/>
        </w:rPr>
        <w:t>■</w:t>
      </w:r>
      <w:r>
        <w:rPr>
          <w:rFonts w:ascii="宋体" w:hAnsi="宋体"/>
          <w:sz w:val="24"/>
        </w:rPr>
        <w:t>”的选项意为适用于本项目，标记“</w:t>
      </w:r>
      <w:r>
        <w:rPr>
          <w:rFonts w:ascii="宋体" w:hAnsi="宋体"/>
        </w:rPr>
        <w:t>□</w:t>
      </w:r>
      <w:r>
        <w:rPr>
          <w:rFonts w:ascii="宋体" w:hAnsi="宋体"/>
          <w:sz w:val="24"/>
        </w:rPr>
        <w:t>”的选项意为不适用于本项目。</w:t>
      </w:r>
      <w:bookmarkEnd w:id="122"/>
    </w:p>
    <w:tbl>
      <w:tblPr>
        <w:tblStyle w:val="4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E5F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52C8C333">
            <w:pPr>
              <w:spacing w:line="360" w:lineRule="auto"/>
              <w:jc w:val="center"/>
              <w:rPr>
                <w:rFonts w:ascii="宋体" w:hAnsi="宋体"/>
                <w:b/>
                <w:bCs/>
                <w:sz w:val="24"/>
              </w:rPr>
            </w:pPr>
            <w:r>
              <w:rPr>
                <w:rFonts w:hint="eastAsia" w:ascii="宋体" w:hAnsi="宋体"/>
                <w:b/>
                <w:sz w:val="24"/>
              </w:rPr>
              <w:t>序号</w:t>
            </w:r>
          </w:p>
        </w:tc>
        <w:tc>
          <w:tcPr>
            <w:tcW w:w="1701" w:type="dxa"/>
            <w:noWrap w:val="0"/>
            <w:vAlign w:val="center"/>
          </w:tcPr>
          <w:p w14:paraId="2059A426">
            <w:pPr>
              <w:spacing w:line="360" w:lineRule="auto"/>
              <w:jc w:val="center"/>
              <w:rPr>
                <w:rFonts w:ascii="宋体" w:hAnsi="宋体"/>
                <w:b/>
                <w:bCs/>
                <w:sz w:val="24"/>
              </w:rPr>
            </w:pPr>
            <w:r>
              <w:rPr>
                <w:rFonts w:ascii="宋体" w:hAnsi="宋体"/>
                <w:b/>
                <w:bCs/>
                <w:sz w:val="24"/>
              </w:rPr>
              <w:t>条目</w:t>
            </w:r>
          </w:p>
        </w:tc>
        <w:tc>
          <w:tcPr>
            <w:tcW w:w="7540" w:type="dxa"/>
            <w:noWrap w:val="0"/>
            <w:vAlign w:val="center"/>
          </w:tcPr>
          <w:p w14:paraId="1E88DB95">
            <w:pPr>
              <w:spacing w:line="360" w:lineRule="auto"/>
              <w:jc w:val="center"/>
              <w:rPr>
                <w:rFonts w:ascii="宋体" w:hAnsi="宋体"/>
                <w:b/>
                <w:bCs/>
                <w:sz w:val="24"/>
              </w:rPr>
            </w:pPr>
            <w:r>
              <w:rPr>
                <w:rFonts w:ascii="宋体" w:hAnsi="宋体"/>
                <w:b/>
                <w:bCs/>
                <w:sz w:val="24"/>
              </w:rPr>
              <w:t>内容</w:t>
            </w:r>
          </w:p>
        </w:tc>
      </w:tr>
      <w:tr w14:paraId="316F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3E204AB6">
            <w:pPr>
              <w:pStyle w:val="23"/>
              <w:spacing w:line="360" w:lineRule="auto"/>
              <w:jc w:val="center"/>
              <w:rPr>
                <w:rFonts w:hint="default" w:hAnsi="宋体"/>
                <w:sz w:val="24"/>
                <w:szCs w:val="24"/>
              </w:rPr>
            </w:pPr>
            <w:r>
              <w:rPr>
                <w:rFonts w:hint="default" w:hAnsi="宋体"/>
                <w:sz w:val="24"/>
                <w:szCs w:val="24"/>
              </w:rPr>
              <w:t>1</w:t>
            </w:r>
          </w:p>
        </w:tc>
        <w:tc>
          <w:tcPr>
            <w:tcW w:w="1701" w:type="dxa"/>
            <w:noWrap w:val="0"/>
            <w:vAlign w:val="center"/>
          </w:tcPr>
          <w:p w14:paraId="568C0BC8">
            <w:pPr>
              <w:spacing w:line="360" w:lineRule="auto"/>
              <w:jc w:val="center"/>
              <w:rPr>
                <w:rFonts w:ascii="宋体" w:hAnsi="宋体"/>
                <w:sz w:val="24"/>
              </w:rPr>
            </w:pPr>
            <w:r>
              <w:rPr>
                <w:rFonts w:ascii="宋体" w:hAnsi="宋体"/>
                <w:sz w:val="24"/>
              </w:rPr>
              <w:t>项目属性</w:t>
            </w:r>
          </w:p>
        </w:tc>
        <w:tc>
          <w:tcPr>
            <w:tcW w:w="7540" w:type="dxa"/>
            <w:noWrap w:val="0"/>
            <w:vAlign w:val="center"/>
          </w:tcPr>
          <w:p w14:paraId="1A7E891F">
            <w:pPr>
              <w:spacing w:line="360" w:lineRule="auto"/>
              <w:jc w:val="left"/>
              <w:rPr>
                <w:rFonts w:ascii="宋体" w:hAnsi="宋体"/>
                <w:sz w:val="24"/>
                <w:u w:val="single"/>
              </w:rPr>
            </w:pPr>
            <w:r>
              <w:rPr>
                <w:rFonts w:ascii="宋体" w:hAnsi="宋体"/>
                <w:sz w:val="24"/>
              </w:rPr>
              <w:t>项目属性：</w:t>
            </w:r>
            <w:r>
              <w:rPr>
                <w:rFonts w:hint="eastAsia" w:ascii="Arial" w:hAnsi="Arial"/>
                <w:sz w:val="24"/>
                <w:szCs w:val="24"/>
              </w:rPr>
              <w:t>■</w:t>
            </w:r>
            <w:r>
              <w:rPr>
                <w:rFonts w:ascii="Arial" w:hAnsi="Arial"/>
                <w:sz w:val="24"/>
                <w:szCs w:val="24"/>
              </w:rPr>
              <w:t>服务</w:t>
            </w:r>
            <w:r>
              <w:rPr>
                <w:rFonts w:hint="eastAsia" w:ascii="Arial" w:hAnsi="Arial"/>
                <w:sz w:val="24"/>
                <w:szCs w:val="24"/>
                <w:lang w:val="en-US" w:eastAsia="zh-CN"/>
              </w:rPr>
              <w:t xml:space="preserve">   </w:t>
            </w:r>
            <w:r>
              <w:rPr>
                <w:rFonts w:ascii="Arial" w:hAnsi="Arial"/>
                <w:sz w:val="24"/>
                <w:szCs w:val="24"/>
              </w:rPr>
              <w:t>□货物</w:t>
            </w:r>
            <w:r>
              <w:rPr>
                <w:rFonts w:hint="eastAsia" w:ascii="Arial" w:hAnsi="Arial"/>
                <w:sz w:val="24"/>
                <w:szCs w:val="24"/>
                <w:lang w:val="en-US" w:eastAsia="zh-CN"/>
              </w:rPr>
              <w:t xml:space="preserve">   </w:t>
            </w:r>
            <w:r>
              <w:rPr>
                <w:rFonts w:ascii="Arial" w:hAnsi="Arial"/>
                <w:sz w:val="24"/>
                <w:szCs w:val="24"/>
              </w:rPr>
              <w:t>□</w:t>
            </w:r>
            <w:r>
              <w:rPr>
                <w:rFonts w:hint="eastAsia" w:ascii="Arial" w:hAnsi="Arial"/>
                <w:sz w:val="24"/>
                <w:szCs w:val="24"/>
              </w:rPr>
              <w:t>工程</w:t>
            </w:r>
          </w:p>
        </w:tc>
      </w:tr>
      <w:tr w14:paraId="06DF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0E9DEEC7">
            <w:pPr>
              <w:pStyle w:val="23"/>
              <w:spacing w:line="360" w:lineRule="auto"/>
              <w:jc w:val="center"/>
              <w:rPr>
                <w:rFonts w:hint="default" w:hAnsi="宋体"/>
                <w:sz w:val="24"/>
                <w:szCs w:val="24"/>
              </w:rPr>
            </w:pPr>
            <w:r>
              <w:rPr>
                <w:rFonts w:hint="default" w:hAnsi="宋体"/>
                <w:sz w:val="24"/>
                <w:szCs w:val="24"/>
              </w:rPr>
              <w:t>2</w:t>
            </w:r>
          </w:p>
        </w:tc>
        <w:tc>
          <w:tcPr>
            <w:tcW w:w="1701" w:type="dxa"/>
            <w:noWrap w:val="0"/>
            <w:vAlign w:val="center"/>
          </w:tcPr>
          <w:p w14:paraId="6D729620">
            <w:pPr>
              <w:spacing w:line="360" w:lineRule="auto"/>
              <w:jc w:val="center"/>
              <w:rPr>
                <w:rFonts w:ascii="宋体" w:hAnsi="宋体"/>
                <w:sz w:val="24"/>
              </w:rPr>
            </w:pPr>
            <w:r>
              <w:rPr>
                <w:rFonts w:ascii="宋体" w:hAnsi="宋体"/>
                <w:sz w:val="24"/>
              </w:rPr>
              <w:t>科研仪器设备</w:t>
            </w:r>
          </w:p>
        </w:tc>
        <w:tc>
          <w:tcPr>
            <w:tcW w:w="7540" w:type="dxa"/>
            <w:noWrap w:val="0"/>
            <w:vAlign w:val="center"/>
          </w:tcPr>
          <w:p w14:paraId="12FC47FF">
            <w:pPr>
              <w:spacing w:line="360" w:lineRule="auto"/>
              <w:jc w:val="left"/>
              <w:rPr>
                <w:rFonts w:ascii="宋体" w:hAnsi="宋体"/>
                <w:sz w:val="24"/>
              </w:rPr>
            </w:pPr>
            <w:r>
              <w:rPr>
                <w:rFonts w:ascii="宋体" w:hAnsi="宋体"/>
                <w:sz w:val="24"/>
              </w:rPr>
              <w:t>是否属于科研仪器设备采购项目：</w:t>
            </w:r>
            <w:r>
              <w:rPr>
                <w:rFonts w:ascii="宋体" w:hAnsi="宋体"/>
              </w:rPr>
              <w:t>□</w:t>
            </w:r>
            <w:r>
              <w:rPr>
                <w:rFonts w:ascii="宋体" w:hAnsi="宋体"/>
                <w:sz w:val="24"/>
              </w:rPr>
              <w:t>是</w:t>
            </w:r>
            <w:r>
              <w:rPr>
                <w:rFonts w:hint="eastAsia" w:ascii="宋体" w:hAnsi="宋体"/>
                <w:sz w:val="24"/>
              </w:rPr>
              <w:t>■</w:t>
            </w:r>
            <w:r>
              <w:rPr>
                <w:rFonts w:ascii="宋体" w:hAnsi="宋体"/>
                <w:sz w:val="24"/>
              </w:rPr>
              <w:t>否</w:t>
            </w:r>
          </w:p>
        </w:tc>
      </w:tr>
      <w:tr w14:paraId="6E77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10C511C">
            <w:pPr>
              <w:pStyle w:val="23"/>
              <w:spacing w:line="360" w:lineRule="auto"/>
              <w:jc w:val="center"/>
              <w:rPr>
                <w:rFonts w:hint="default" w:hAnsi="宋体"/>
                <w:sz w:val="24"/>
                <w:szCs w:val="24"/>
              </w:rPr>
            </w:pPr>
            <w:r>
              <w:rPr>
                <w:rFonts w:hint="default" w:hAnsi="宋体"/>
                <w:sz w:val="24"/>
                <w:szCs w:val="24"/>
              </w:rPr>
              <w:t>3</w:t>
            </w:r>
          </w:p>
        </w:tc>
        <w:tc>
          <w:tcPr>
            <w:tcW w:w="1701" w:type="dxa"/>
            <w:noWrap w:val="0"/>
            <w:vAlign w:val="center"/>
          </w:tcPr>
          <w:p w14:paraId="4A274D3A">
            <w:pPr>
              <w:spacing w:line="360" w:lineRule="auto"/>
              <w:jc w:val="center"/>
              <w:rPr>
                <w:rFonts w:ascii="宋体" w:hAnsi="宋体"/>
                <w:sz w:val="24"/>
              </w:rPr>
            </w:pPr>
            <w:r>
              <w:rPr>
                <w:rFonts w:ascii="宋体" w:hAnsi="宋体"/>
                <w:sz w:val="24"/>
              </w:rPr>
              <w:t>现场考察</w:t>
            </w:r>
          </w:p>
        </w:tc>
        <w:tc>
          <w:tcPr>
            <w:tcW w:w="7540" w:type="dxa"/>
            <w:noWrap w:val="0"/>
            <w:vAlign w:val="center"/>
          </w:tcPr>
          <w:p w14:paraId="7DEFB980">
            <w:pPr>
              <w:spacing w:line="360" w:lineRule="auto"/>
              <w:jc w:val="left"/>
              <w:rPr>
                <w:rFonts w:ascii="宋体" w:hAnsi="宋体"/>
                <w:sz w:val="24"/>
              </w:rPr>
            </w:pPr>
            <w:r>
              <w:rPr>
                <w:rFonts w:hint="eastAsia" w:ascii="宋体" w:hAnsi="宋体"/>
                <w:sz w:val="24"/>
              </w:rPr>
              <w:t>■</w:t>
            </w:r>
            <w:r>
              <w:rPr>
                <w:rFonts w:ascii="宋体" w:hAnsi="宋体"/>
                <w:sz w:val="24"/>
              </w:rPr>
              <w:t>不组织</w:t>
            </w:r>
          </w:p>
          <w:p w14:paraId="70DF87B6">
            <w:pPr>
              <w:spacing w:line="360" w:lineRule="auto"/>
              <w:jc w:val="left"/>
              <w:rPr>
                <w:rFonts w:ascii="宋体" w:hAnsi="宋体"/>
                <w:sz w:val="24"/>
              </w:rPr>
            </w:pPr>
            <w:r>
              <w:rPr>
                <w:rFonts w:ascii="宋体" w:hAnsi="宋体"/>
              </w:rPr>
              <w:t>□</w:t>
            </w:r>
            <w:r>
              <w:rPr>
                <w:rFonts w:ascii="宋体" w:hAnsi="宋体"/>
                <w:sz w:val="24"/>
              </w:rPr>
              <w:t>组织</w:t>
            </w:r>
          </w:p>
        </w:tc>
      </w:tr>
      <w:tr w14:paraId="3E8A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FBAB95">
            <w:pPr>
              <w:pStyle w:val="23"/>
              <w:spacing w:line="360" w:lineRule="auto"/>
              <w:jc w:val="center"/>
              <w:rPr>
                <w:rFonts w:hint="default" w:hAnsi="宋体"/>
                <w:sz w:val="24"/>
                <w:szCs w:val="24"/>
              </w:rPr>
            </w:pPr>
            <w:r>
              <w:rPr>
                <w:rFonts w:hint="default" w:hAnsi="宋体"/>
                <w:sz w:val="24"/>
                <w:szCs w:val="24"/>
              </w:rPr>
              <w:t>4</w:t>
            </w:r>
          </w:p>
        </w:tc>
        <w:tc>
          <w:tcPr>
            <w:tcW w:w="1701" w:type="dxa"/>
            <w:noWrap w:val="0"/>
            <w:vAlign w:val="center"/>
          </w:tcPr>
          <w:p w14:paraId="394FE749">
            <w:pPr>
              <w:spacing w:line="360" w:lineRule="auto"/>
              <w:jc w:val="center"/>
              <w:rPr>
                <w:rFonts w:ascii="宋体" w:hAnsi="宋体"/>
                <w:sz w:val="24"/>
              </w:rPr>
            </w:pPr>
            <w:r>
              <w:rPr>
                <w:rFonts w:ascii="宋体" w:hAnsi="宋体"/>
                <w:sz w:val="24"/>
              </w:rPr>
              <w:t>答疑会</w:t>
            </w:r>
          </w:p>
        </w:tc>
        <w:tc>
          <w:tcPr>
            <w:tcW w:w="7540" w:type="dxa"/>
            <w:noWrap w:val="0"/>
            <w:vAlign w:val="center"/>
          </w:tcPr>
          <w:p w14:paraId="7732726F">
            <w:pPr>
              <w:spacing w:line="360" w:lineRule="auto"/>
              <w:jc w:val="left"/>
              <w:rPr>
                <w:rFonts w:ascii="宋体" w:hAnsi="宋体"/>
                <w:sz w:val="24"/>
              </w:rPr>
            </w:pPr>
            <w:r>
              <w:rPr>
                <w:rFonts w:hint="eastAsia" w:ascii="宋体" w:hAnsi="宋体"/>
                <w:sz w:val="24"/>
              </w:rPr>
              <w:t>■</w:t>
            </w:r>
            <w:r>
              <w:rPr>
                <w:rFonts w:ascii="宋体" w:hAnsi="宋体"/>
                <w:sz w:val="24"/>
              </w:rPr>
              <w:t>不召开</w:t>
            </w:r>
          </w:p>
          <w:p w14:paraId="23592289">
            <w:pPr>
              <w:spacing w:line="360" w:lineRule="auto"/>
              <w:jc w:val="left"/>
              <w:rPr>
                <w:rFonts w:ascii="宋体" w:hAnsi="宋体"/>
                <w:sz w:val="24"/>
              </w:rPr>
            </w:pPr>
            <w:r>
              <w:rPr>
                <w:rFonts w:ascii="宋体" w:hAnsi="宋体"/>
              </w:rPr>
              <w:t>□</w:t>
            </w:r>
            <w:r>
              <w:rPr>
                <w:rFonts w:ascii="宋体" w:hAnsi="宋体"/>
                <w:sz w:val="24"/>
              </w:rPr>
              <w:t>召开</w:t>
            </w:r>
          </w:p>
        </w:tc>
      </w:tr>
      <w:tr w14:paraId="5804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43603EB">
            <w:pPr>
              <w:pStyle w:val="23"/>
              <w:spacing w:line="360" w:lineRule="auto"/>
              <w:jc w:val="center"/>
              <w:rPr>
                <w:rFonts w:hint="default" w:hAnsi="宋体"/>
                <w:sz w:val="24"/>
                <w:szCs w:val="24"/>
              </w:rPr>
            </w:pPr>
            <w:r>
              <w:rPr>
                <w:rFonts w:hint="default" w:hAnsi="宋体"/>
                <w:sz w:val="24"/>
                <w:szCs w:val="24"/>
              </w:rPr>
              <w:t>5</w:t>
            </w:r>
          </w:p>
        </w:tc>
        <w:tc>
          <w:tcPr>
            <w:tcW w:w="1701" w:type="dxa"/>
            <w:noWrap w:val="0"/>
            <w:vAlign w:val="center"/>
          </w:tcPr>
          <w:p w14:paraId="15C80988">
            <w:pPr>
              <w:spacing w:line="360" w:lineRule="auto"/>
              <w:jc w:val="center"/>
              <w:rPr>
                <w:rFonts w:ascii="宋体" w:hAnsi="宋体"/>
                <w:sz w:val="24"/>
              </w:rPr>
            </w:pPr>
            <w:r>
              <w:rPr>
                <w:rFonts w:ascii="宋体" w:hAnsi="宋体"/>
                <w:sz w:val="24"/>
              </w:rPr>
              <w:t>样品</w:t>
            </w:r>
          </w:p>
        </w:tc>
        <w:tc>
          <w:tcPr>
            <w:tcW w:w="7540" w:type="dxa"/>
            <w:noWrap w:val="0"/>
            <w:vAlign w:val="center"/>
          </w:tcPr>
          <w:p w14:paraId="44BF5A46">
            <w:pPr>
              <w:spacing w:line="360" w:lineRule="auto"/>
              <w:jc w:val="left"/>
              <w:rPr>
                <w:rFonts w:ascii="宋体" w:hAnsi="宋体"/>
                <w:sz w:val="24"/>
              </w:rPr>
            </w:pPr>
            <w:r>
              <w:rPr>
                <w:rFonts w:ascii="宋体" w:hAnsi="宋体"/>
                <w:sz w:val="24"/>
              </w:rPr>
              <w:t>投标样品递交：</w:t>
            </w:r>
          </w:p>
          <w:p w14:paraId="41FFCA72">
            <w:pPr>
              <w:spacing w:line="360" w:lineRule="auto"/>
              <w:jc w:val="left"/>
              <w:rPr>
                <w:rFonts w:ascii="宋体" w:hAnsi="宋体"/>
                <w:sz w:val="24"/>
              </w:rPr>
            </w:pPr>
            <w:r>
              <w:rPr>
                <w:rFonts w:hint="eastAsia" w:ascii="宋体" w:hAnsi="宋体"/>
                <w:sz w:val="24"/>
              </w:rPr>
              <w:t>■</w:t>
            </w:r>
            <w:r>
              <w:rPr>
                <w:rFonts w:ascii="宋体" w:hAnsi="宋体"/>
                <w:sz w:val="24"/>
              </w:rPr>
              <w:t>不需要</w:t>
            </w:r>
          </w:p>
          <w:p w14:paraId="474A6A74">
            <w:pPr>
              <w:spacing w:line="360" w:lineRule="auto"/>
              <w:jc w:val="left"/>
              <w:rPr>
                <w:rFonts w:ascii="宋体" w:hAnsi="宋体"/>
                <w:sz w:val="24"/>
              </w:rPr>
            </w:pPr>
            <w:r>
              <w:rPr>
                <w:rFonts w:ascii="Wingdings 2" w:hAnsi="Wingdings 2" w:eastAsia="Wingdings 2" w:cs="Wingdings 2"/>
                <w:sz w:val="24"/>
              </w:rPr>
              <w:sym w:font="Wingdings 2" w:char="00A3"/>
            </w:r>
            <w:r>
              <w:rPr>
                <w:rFonts w:ascii="宋体" w:hAnsi="宋体"/>
                <w:sz w:val="24"/>
              </w:rPr>
              <w:t>需要</w:t>
            </w:r>
            <w:r>
              <w:rPr>
                <w:rFonts w:hint="eastAsia" w:ascii="宋体" w:hAnsi="宋体"/>
                <w:sz w:val="24"/>
              </w:rPr>
              <w:t>，具体</w:t>
            </w:r>
            <w:r>
              <w:rPr>
                <w:rFonts w:ascii="宋体" w:hAnsi="宋体"/>
                <w:sz w:val="24"/>
              </w:rPr>
              <w:t>要求如下：</w:t>
            </w:r>
            <w:r>
              <w:rPr>
                <w:rFonts w:hint="eastAsia" w:ascii="宋体" w:hAnsi="宋体"/>
                <w:sz w:val="24"/>
              </w:rPr>
              <w:t>/</w:t>
            </w:r>
          </w:p>
        </w:tc>
      </w:tr>
      <w:tr w14:paraId="1846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7C6C22D3">
            <w:pPr>
              <w:pStyle w:val="23"/>
              <w:spacing w:line="360" w:lineRule="auto"/>
              <w:jc w:val="center"/>
              <w:rPr>
                <w:rFonts w:hint="default" w:hAnsi="宋体"/>
                <w:sz w:val="24"/>
                <w:szCs w:val="24"/>
              </w:rPr>
            </w:pPr>
            <w:r>
              <w:rPr>
                <w:rFonts w:hint="default" w:hAnsi="宋体"/>
                <w:sz w:val="24"/>
                <w:szCs w:val="24"/>
              </w:rPr>
              <w:t>6</w:t>
            </w:r>
          </w:p>
        </w:tc>
        <w:tc>
          <w:tcPr>
            <w:tcW w:w="1701" w:type="dxa"/>
            <w:noWrap w:val="0"/>
            <w:vAlign w:val="center"/>
          </w:tcPr>
          <w:p w14:paraId="36800A16">
            <w:pPr>
              <w:spacing w:line="360" w:lineRule="auto"/>
              <w:jc w:val="center"/>
              <w:rPr>
                <w:rFonts w:ascii="宋体" w:hAnsi="宋体"/>
                <w:sz w:val="24"/>
              </w:rPr>
            </w:pPr>
            <w:r>
              <w:rPr>
                <w:rFonts w:ascii="宋体" w:hAnsi="宋体"/>
                <w:sz w:val="24"/>
              </w:rPr>
              <w:t>是否专门面向中小企业</w:t>
            </w:r>
          </w:p>
        </w:tc>
        <w:tc>
          <w:tcPr>
            <w:tcW w:w="7540" w:type="dxa"/>
            <w:noWrap w:val="0"/>
            <w:vAlign w:val="center"/>
          </w:tcPr>
          <w:p w14:paraId="72BE3642">
            <w:pPr>
              <w:spacing w:line="360" w:lineRule="auto"/>
              <w:jc w:val="left"/>
              <w:rPr>
                <w:rFonts w:ascii="宋体" w:hAnsi="宋体"/>
                <w:sz w:val="24"/>
              </w:rPr>
            </w:pPr>
            <w:r>
              <w:rPr>
                <w:rFonts w:hint="eastAsia" w:ascii="宋体" w:hAnsi="宋体"/>
                <w:lang w:eastAsia="zh-CN"/>
              </w:rPr>
              <w:t>□</w:t>
            </w:r>
            <w:r>
              <w:rPr>
                <w:rFonts w:hint="eastAsia" w:ascii="宋体" w:hAnsi="宋体"/>
                <w:sz w:val="24"/>
              </w:rPr>
              <w:t>本项目专门面向中小企业采购，在评审时不再对小微企业执行价格评审优惠政策。</w:t>
            </w:r>
          </w:p>
          <w:p w14:paraId="0352F38F">
            <w:pPr>
              <w:spacing w:line="360" w:lineRule="auto"/>
              <w:jc w:val="left"/>
              <w:rPr>
                <w:rFonts w:ascii="宋体" w:hAnsi="宋体"/>
                <w:sz w:val="24"/>
              </w:rPr>
            </w:pPr>
            <w:r>
              <w:rPr>
                <w:rFonts w:hint="eastAsia" w:ascii="宋体" w:hAnsi="宋体"/>
                <w:sz w:val="24"/>
              </w:rPr>
              <w:t>■本项目非专门面向中小企业采购，对于符合规定的小微企业报价给予</w:t>
            </w:r>
            <w:r>
              <w:rPr>
                <w:rFonts w:ascii="宋体" w:hAnsi="宋体"/>
                <w:sz w:val="24"/>
                <w:u w:val="single"/>
              </w:rPr>
              <w:t>2</w:t>
            </w:r>
            <w:r>
              <w:rPr>
                <w:rFonts w:hint="eastAsia" w:ascii="宋体" w:hAnsi="宋体"/>
                <w:sz w:val="24"/>
                <w:u w:val="single"/>
              </w:rPr>
              <w:t>0%</w:t>
            </w:r>
            <w:r>
              <w:rPr>
                <w:rFonts w:hint="eastAsia" w:ascii="宋体" w:hAnsi="宋体"/>
                <w:sz w:val="24"/>
              </w:rPr>
              <w:t>的扣除，用扣除后的价格参与评审。</w:t>
            </w:r>
          </w:p>
        </w:tc>
      </w:tr>
      <w:tr w14:paraId="499A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08B5E6F">
            <w:pPr>
              <w:pStyle w:val="23"/>
              <w:spacing w:line="360" w:lineRule="auto"/>
              <w:jc w:val="center"/>
              <w:rPr>
                <w:rFonts w:hint="default" w:hAnsi="宋体"/>
                <w:sz w:val="24"/>
                <w:szCs w:val="24"/>
              </w:rPr>
            </w:pPr>
            <w:r>
              <w:rPr>
                <w:rFonts w:hint="default" w:hAnsi="宋体"/>
                <w:sz w:val="24"/>
                <w:szCs w:val="24"/>
              </w:rPr>
              <w:t>7</w:t>
            </w:r>
          </w:p>
        </w:tc>
        <w:tc>
          <w:tcPr>
            <w:tcW w:w="1701" w:type="dxa"/>
            <w:noWrap w:val="0"/>
            <w:vAlign w:val="center"/>
          </w:tcPr>
          <w:p w14:paraId="6434F84C">
            <w:pPr>
              <w:spacing w:line="360" w:lineRule="auto"/>
              <w:jc w:val="center"/>
              <w:rPr>
                <w:rFonts w:ascii="宋体" w:hAnsi="宋体"/>
                <w:sz w:val="24"/>
              </w:rPr>
            </w:pPr>
            <w:r>
              <w:rPr>
                <w:rFonts w:ascii="宋体" w:hAnsi="宋体"/>
                <w:sz w:val="24"/>
              </w:rPr>
              <w:t>标的所属行业</w:t>
            </w:r>
          </w:p>
        </w:tc>
        <w:tc>
          <w:tcPr>
            <w:tcW w:w="7540" w:type="dxa"/>
            <w:noWrap w:val="0"/>
            <w:vAlign w:val="center"/>
          </w:tcPr>
          <w:p w14:paraId="4015490D">
            <w:pPr>
              <w:spacing w:line="360" w:lineRule="auto"/>
              <w:jc w:val="left"/>
              <w:rPr>
                <w:rFonts w:ascii="宋体" w:hAnsi="宋体"/>
                <w:sz w:val="24"/>
              </w:rPr>
            </w:pPr>
            <w:r>
              <w:rPr>
                <w:rFonts w:hint="eastAsia" w:ascii="宋体" w:hAnsi="宋体"/>
                <w:sz w:val="24"/>
              </w:rPr>
              <w:t>本项目属于</w:t>
            </w:r>
            <w:r>
              <w:rPr>
                <w:rFonts w:hint="eastAsia" w:ascii="宋体" w:hAnsi="宋体"/>
                <w:b/>
                <w:bCs/>
                <w:sz w:val="24"/>
                <w:u w:val="single"/>
              </w:rPr>
              <w:t>服务类</w:t>
            </w:r>
            <w:r>
              <w:rPr>
                <w:rFonts w:hint="eastAsia" w:ascii="宋体" w:hAnsi="宋体" w:cs="楷体"/>
                <w:szCs w:val="21"/>
              </w:rPr>
              <w:t>，</w:t>
            </w:r>
            <w:r>
              <w:rPr>
                <w:rFonts w:ascii="宋体" w:hAnsi="宋体"/>
                <w:sz w:val="24"/>
              </w:rPr>
              <w:t>采购标的对应的中小企业划分标准所属行业：</w:t>
            </w:r>
            <w:r>
              <w:rPr>
                <w:rFonts w:hint="eastAsia" w:ascii="宋体" w:hAnsi="宋体"/>
                <w:b/>
                <w:bCs/>
                <w:sz w:val="24"/>
                <w:u w:val="single"/>
              </w:rPr>
              <w:t xml:space="preserve">其他未列明行业 </w:t>
            </w:r>
            <w:r>
              <w:rPr>
                <w:rFonts w:hint="eastAsia" w:ascii="宋体" w:hAnsi="宋体"/>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3B0C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988" w:type="dxa"/>
            <w:noWrap w:val="0"/>
            <w:vAlign w:val="center"/>
          </w:tcPr>
          <w:p w14:paraId="607BB8FB">
            <w:pPr>
              <w:pStyle w:val="23"/>
              <w:spacing w:line="360" w:lineRule="auto"/>
              <w:jc w:val="center"/>
              <w:rPr>
                <w:rFonts w:hint="default" w:hAnsi="宋体"/>
                <w:sz w:val="24"/>
                <w:szCs w:val="24"/>
              </w:rPr>
            </w:pPr>
            <w:r>
              <w:rPr>
                <w:rFonts w:hint="default" w:hAnsi="宋体"/>
                <w:sz w:val="24"/>
                <w:szCs w:val="24"/>
              </w:rPr>
              <w:t>8</w:t>
            </w:r>
          </w:p>
        </w:tc>
        <w:tc>
          <w:tcPr>
            <w:tcW w:w="1701" w:type="dxa"/>
            <w:noWrap w:val="0"/>
            <w:vAlign w:val="center"/>
          </w:tcPr>
          <w:p w14:paraId="24BE93A0">
            <w:pPr>
              <w:spacing w:line="360" w:lineRule="auto"/>
              <w:jc w:val="center"/>
              <w:rPr>
                <w:rFonts w:ascii="宋体" w:hAnsi="宋体"/>
                <w:sz w:val="24"/>
              </w:rPr>
            </w:pPr>
            <w:r>
              <w:rPr>
                <w:rFonts w:hint="eastAsia" w:ascii="宋体" w:hAnsi="宋体"/>
                <w:sz w:val="24"/>
              </w:rPr>
              <w:t>响应</w:t>
            </w:r>
            <w:r>
              <w:rPr>
                <w:rFonts w:ascii="宋体" w:hAnsi="宋体"/>
                <w:sz w:val="24"/>
              </w:rPr>
              <w:t>有效期</w:t>
            </w:r>
          </w:p>
        </w:tc>
        <w:tc>
          <w:tcPr>
            <w:tcW w:w="7540" w:type="dxa"/>
            <w:noWrap w:val="0"/>
            <w:vAlign w:val="center"/>
          </w:tcPr>
          <w:p w14:paraId="38E7381B">
            <w:pPr>
              <w:spacing w:line="360" w:lineRule="auto"/>
              <w:jc w:val="left"/>
              <w:rPr>
                <w:rFonts w:ascii="宋体" w:hAnsi="宋体"/>
                <w:sz w:val="24"/>
              </w:rPr>
            </w:pPr>
            <w:r>
              <w:rPr>
                <w:rFonts w:ascii="宋体" w:hAnsi="宋体"/>
                <w:sz w:val="24"/>
              </w:rPr>
              <w:t>自提交</w:t>
            </w:r>
            <w:r>
              <w:rPr>
                <w:rFonts w:hint="eastAsia" w:ascii="宋体" w:hAnsi="宋体"/>
                <w:sz w:val="24"/>
              </w:rPr>
              <w:t>响应</w:t>
            </w:r>
            <w:r>
              <w:rPr>
                <w:rFonts w:ascii="宋体" w:hAnsi="宋体"/>
                <w:sz w:val="24"/>
              </w:rPr>
              <w:t>文件的截止之日起算</w:t>
            </w:r>
            <w:r>
              <w:rPr>
                <w:rFonts w:ascii="宋体" w:hAnsi="宋体"/>
                <w:sz w:val="24"/>
                <w:u w:val="single"/>
              </w:rPr>
              <w:t>60</w:t>
            </w:r>
            <w:r>
              <w:rPr>
                <w:rFonts w:ascii="宋体" w:hAnsi="宋体"/>
                <w:sz w:val="24"/>
              </w:rPr>
              <w:t>日历天。</w:t>
            </w:r>
          </w:p>
        </w:tc>
      </w:tr>
      <w:tr w14:paraId="5AB1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88" w:type="dxa"/>
            <w:noWrap w:val="0"/>
            <w:vAlign w:val="center"/>
          </w:tcPr>
          <w:p w14:paraId="637CD4C4">
            <w:pPr>
              <w:pStyle w:val="23"/>
              <w:spacing w:line="360" w:lineRule="auto"/>
              <w:jc w:val="center"/>
              <w:rPr>
                <w:rFonts w:hint="default" w:hAnsi="宋体"/>
                <w:sz w:val="24"/>
                <w:szCs w:val="24"/>
              </w:rPr>
            </w:pPr>
            <w:r>
              <w:rPr>
                <w:rFonts w:hint="default" w:hAnsi="宋体"/>
                <w:sz w:val="24"/>
                <w:szCs w:val="24"/>
              </w:rPr>
              <w:t>9</w:t>
            </w:r>
          </w:p>
        </w:tc>
        <w:tc>
          <w:tcPr>
            <w:tcW w:w="1701" w:type="dxa"/>
            <w:noWrap w:val="0"/>
            <w:vAlign w:val="center"/>
          </w:tcPr>
          <w:p w14:paraId="736EF93D">
            <w:pPr>
              <w:spacing w:line="360" w:lineRule="auto"/>
              <w:jc w:val="center"/>
              <w:rPr>
                <w:rFonts w:ascii="宋体" w:hAnsi="宋体"/>
                <w:sz w:val="24"/>
              </w:rPr>
            </w:pPr>
            <w:r>
              <w:rPr>
                <w:rFonts w:ascii="宋体" w:hAnsi="宋体"/>
                <w:sz w:val="24"/>
              </w:rPr>
              <w:t>分包</w:t>
            </w:r>
          </w:p>
        </w:tc>
        <w:tc>
          <w:tcPr>
            <w:tcW w:w="7540" w:type="dxa"/>
            <w:noWrap w:val="0"/>
            <w:vAlign w:val="center"/>
          </w:tcPr>
          <w:p w14:paraId="65D3E668">
            <w:pPr>
              <w:spacing w:line="360" w:lineRule="auto"/>
              <w:jc w:val="left"/>
              <w:rPr>
                <w:rFonts w:ascii="宋体" w:hAnsi="宋体"/>
                <w:sz w:val="24"/>
              </w:rPr>
            </w:pPr>
            <w:r>
              <w:rPr>
                <w:rFonts w:ascii="宋体" w:hAnsi="宋体"/>
                <w:sz w:val="24"/>
              </w:rPr>
              <w:t>本项目的非主体、非关键性工作是否允许分包：</w:t>
            </w:r>
            <w:r>
              <w:rPr>
                <w:rFonts w:hint="eastAsia" w:ascii="宋体" w:hAnsi="宋体"/>
                <w:b/>
                <w:sz w:val="24"/>
                <w:lang w:val="en-US" w:eastAsia="zh-CN"/>
              </w:rPr>
              <w:t>不</w:t>
            </w:r>
            <w:r>
              <w:rPr>
                <w:rFonts w:ascii="宋体" w:hAnsi="宋体"/>
                <w:b/>
                <w:sz w:val="24"/>
              </w:rPr>
              <w:t>允许</w:t>
            </w:r>
          </w:p>
        </w:tc>
      </w:tr>
      <w:tr w14:paraId="44CB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88" w:type="dxa"/>
            <w:noWrap w:val="0"/>
            <w:vAlign w:val="center"/>
          </w:tcPr>
          <w:p w14:paraId="1798F42A">
            <w:pPr>
              <w:pStyle w:val="23"/>
              <w:spacing w:line="360" w:lineRule="auto"/>
              <w:jc w:val="center"/>
              <w:rPr>
                <w:rFonts w:hint="default" w:hAnsi="宋体"/>
                <w:sz w:val="24"/>
                <w:szCs w:val="24"/>
              </w:rPr>
            </w:pPr>
            <w:r>
              <w:rPr>
                <w:rFonts w:hAnsi="宋体"/>
                <w:sz w:val="24"/>
                <w:szCs w:val="24"/>
              </w:rPr>
              <w:t>1</w:t>
            </w:r>
            <w:r>
              <w:rPr>
                <w:rFonts w:hint="default" w:hAnsi="宋体"/>
                <w:sz w:val="24"/>
                <w:szCs w:val="24"/>
              </w:rPr>
              <w:t>0</w:t>
            </w:r>
          </w:p>
        </w:tc>
        <w:tc>
          <w:tcPr>
            <w:tcW w:w="1701" w:type="dxa"/>
            <w:noWrap w:val="0"/>
            <w:vAlign w:val="center"/>
          </w:tcPr>
          <w:p w14:paraId="5DD532D5">
            <w:pPr>
              <w:spacing w:line="360" w:lineRule="auto"/>
              <w:jc w:val="center"/>
              <w:rPr>
                <w:rFonts w:ascii="宋体" w:hAnsi="宋体"/>
                <w:sz w:val="24"/>
              </w:rPr>
            </w:pPr>
            <w:r>
              <w:rPr>
                <w:rFonts w:ascii="宋体" w:hAnsi="宋体"/>
                <w:sz w:val="24"/>
              </w:rPr>
              <w:t>询问</w:t>
            </w:r>
          </w:p>
        </w:tc>
        <w:tc>
          <w:tcPr>
            <w:tcW w:w="7540" w:type="dxa"/>
            <w:noWrap w:val="0"/>
            <w:vAlign w:val="center"/>
          </w:tcPr>
          <w:p w14:paraId="7F2B0757">
            <w:pPr>
              <w:spacing w:line="360" w:lineRule="auto"/>
              <w:jc w:val="left"/>
              <w:rPr>
                <w:rFonts w:ascii="宋体" w:hAnsi="宋体"/>
                <w:sz w:val="24"/>
              </w:rPr>
            </w:pPr>
            <w:r>
              <w:rPr>
                <w:rFonts w:hint="eastAsia" w:ascii="宋体" w:hAnsi="宋体"/>
                <w:sz w:val="24"/>
              </w:rPr>
              <w:t>已登记参加本项目的供应商对磋商文件如有疑问，可于</w:t>
            </w:r>
            <w:r>
              <w:rPr>
                <w:rFonts w:ascii="宋体" w:hAnsi="宋体"/>
                <w:sz w:val="24"/>
                <w:u w:val="single"/>
              </w:rPr>
              <w:t>202</w:t>
            </w:r>
            <w:r>
              <w:rPr>
                <w:rFonts w:hint="eastAsia" w:ascii="宋体" w:hAnsi="宋体"/>
                <w:sz w:val="24"/>
                <w:u w:val="single"/>
                <w:lang w:val="en-US" w:eastAsia="zh-CN"/>
              </w:rPr>
              <w:t>6</w:t>
            </w:r>
            <w:r>
              <w:rPr>
                <w:rFonts w:ascii="宋体" w:hAnsi="宋体"/>
                <w:sz w:val="24"/>
                <w:u w:val="single"/>
              </w:rPr>
              <w:t>年</w:t>
            </w:r>
            <w:r>
              <w:rPr>
                <w:rFonts w:hint="eastAsia" w:ascii="宋体" w:hAnsi="宋体"/>
                <w:sz w:val="24"/>
                <w:u w:val="single"/>
                <w:lang w:val="en-US" w:eastAsia="zh-CN"/>
              </w:rPr>
              <w:t>2</w:t>
            </w:r>
            <w:r>
              <w:rPr>
                <w:rFonts w:ascii="宋体" w:hAnsi="宋体"/>
                <w:sz w:val="24"/>
                <w:u w:val="single"/>
              </w:rPr>
              <w:t>月</w:t>
            </w:r>
            <w:r>
              <w:rPr>
                <w:rFonts w:hint="eastAsia" w:ascii="宋体" w:hAnsi="宋体"/>
                <w:sz w:val="24"/>
                <w:u w:val="single"/>
                <w:lang w:val="en-US" w:eastAsia="zh-CN"/>
              </w:rPr>
              <w:t>4</w:t>
            </w:r>
            <w:r>
              <w:rPr>
                <w:rFonts w:ascii="宋体" w:hAnsi="宋体"/>
                <w:sz w:val="24"/>
                <w:u w:val="single"/>
              </w:rPr>
              <w:t>日10</w:t>
            </w:r>
            <w:r>
              <w:rPr>
                <w:rFonts w:hint="eastAsia" w:ascii="宋体" w:hAnsi="宋体"/>
                <w:sz w:val="24"/>
                <w:u w:val="single"/>
              </w:rPr>
              <w:t>时</w:t>
            </w:r>
            <w:r>
              <w:rPr>
                <w:rFonts w:ascii="宋体" w:hAnsi="宋体"/>
                <w:sz w:val="24"/>
                <w:u w:val="single"/>
              </w:rPr>
              <w:t>00</w:t>
            </w:r>
            <w:r>
              <w:rPr>
                <w:rFonts w:ascii="宋体" w:hAnsi="宋体"/>
                <w:bCs/>
                <w:sz w:val="24"/>
                <w:u w:val="single"/>
              </w:rPr>
              <w:t>分</w:t>
            </w:r>
            <w:r>
              <w:rPr>
                <w:rFonts w:hint="eastAsia" w:ascii="宋体" w:hAnsi="宋体"/>
                <w:sz w:val="24"/>
              </w:rPr>
              <w:t>前将相关疑问（格式详见磋商文件中“关于磋商文件的询问内容”）发送至邮箱（</w:t>
            </w:r>
            <w:r>
              <w:rPr>
                <w:rFonts w:hint="eastAsia" w:ascii="宋体" w:hAnsi="宋体"/>
                <w:sz w:val="24"/>
                <w:lang w:val="en-US" w:eastAsia="zh-CN"/>
              </w:rPr>
              <w:t>450427179</w:t>
            </w:r>
            <w:r>
              <w:rPr>
                <w:rFonts w:ascii="宋体" w:hAnsi="宋体"/>
                <w:sz w:val="24"/>
              </w:rPr>
              <w:t>@</w:t>
            </w:r>
            <w:r>
              <w:rPr>
                <w:rFonts w:hint="eastAsia" w:ascii="宋体" w:hAnsi="宋体"/>
                <w:sz w:val="24"/>
                <w:lang w:val="en-US" w:eastAsia="zh-CN"/>
              </w:rPr>
              <w:t>qq</w:t>
            </w:r>
            <w:r>
              <w:rPr>
                <w:rFonts w:ascii="宋体" w:hAnsi="宋体"/>
                <w:sz w:val="24"/>
              </w:rPr>
              <w:t>.com</w:t>
            </w:r>
            <w:r>
              <w:rPr>
                <w:rFonts w:hint="eastAsia" w:ascii="宋体" w:hAnsi="宋体"/>
                <w:sz w:val="24"/>
              </w:rPr>
              <w:t>）进行咨询，如口头可解释的问题亦可电话咨询采购人。未提出疑问将被视为完全认同磋商文件，逾期将不接受其对于磋商文件的相关异议。如有变更，更正公告将会在江苏省政府采购网、常州市政府采购网公布。</w:t>
            </w:r>
          </w:p>
        </w:tc>
      </w:tr>
      <w:tr w14:paraId="5291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988" w:type="dxa"/>
            <w:noWrap w:val="0"/>
            <w:vAlign w:val="center"/>
          </w:tcPr>
          <w:p w14:paraId="2CF15169">
            <w:pPr>
              <w:pStyle w:val="23"/>
              <w:spacing w:line="360" w:lineRule="auto"/>
              <w:jc w:val="center"/>
              <w:rPr>
                <w:rFonts w:hint="default" w:hAnsi="宋体"/>
                <w:sz w:val="24"/>
                <w:szCs w:val="24"/>
              </w:rPr>
            </w:pPr>
            <w:r>
              <w:rPr>
                <w:rFonts w:hAnsi="宋体"/>
                <w:sz w:val="24"/>
                <w:szCs w:val="24"/>
              </w:rPr>
              <w:t>1</w:t>
            </w:r>
            <w:r>
              <w:rPr>
                <w:rFonts w:hint="default" w:hAnsi="宋体"/>
                <w:sz w:val="24"/>
                <w:szCs w:val="24"/>
              </w:rPr>
              <w:t>1</w:t>
            </w:r>
          </w:p>
        </w:tc>
        <w:tc>
          <w:tcPr>
            <w:tcW w:w="1701" w:type="dxa"/>
            <w:noWrap w:val="0"/>
            <w:vAlign w:val="center"/>
          </w:tcPr>
          <w:p w14:paraId="6AD813E4">
            <w:pPr>
              <w:spacing w:line="360" w:lineRule="auto"/>
              <w:jc w:val="center"/>
              <w:rPr>
                <w:rFonts w:ascii="宋体" w:hAnsi="宋体"/>
                <w:sz w:val="24"/>
              </w:rPr>
            </w:pPr>
            <w:r>
              <w:rPr>
                <w:rFonts w:ascii="宋体" w:hAnsi="宋体"/>
                <w:sz w:val="24"/>
              </w:rPr>
              <w:t>磋商报价次数</w:t>
            </w:r>
          </w:p>
        </w:tc>
        <w:tc>
          <w:tcPr>
            <w:tcW w:w="7540" w:type="dxa"/>
            <w:noWrap w:val="0"/>
            <w:vAlign w:val="center"/>
          </w:tcPr>
          <w:p w14:paraId="691C36A8">
            <w:pPr>
              <w:spacing w:line="360" w:lineRule="auto"/>
              <w:jc w:val="left"/>
              <w:rPr>
                <w:rFonts w:ascii="宋体" w:hAnsi="宋体"/>
                <w:sz w:val="24"/>
              </w:rPr>
            </w:pPr>
            <w:r>
              <w:rPr>
                <w:rFonts w:hint="eastAsia" w:ascii="宋体" w:hAnsi="宋体"/>
                <w:sz w:val="24"/>
              </w:rPr>
              <w:t>本项目采用二轮报价，电子响应文件中的书面报价为首轮报价，后续报价通过系统在线报价。后续报价不得超过预算、最高限价及首轮报价，否则作无效报价文件处理。</w:t>
            </w:r>
          </w:p>
        </w:tc>
      </w:tr>
      <w:tr w14:paraId="6FFE2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4283FB5">
            <w:pPr>
              <w:pStyle w:val="23"/>
              <w:spacing w:line="360" w:lineRule="auto"/>
              <w:jc w:val="center"/>
              <w:rPr>
                <w:rFonts w:hint="default" w:hAnsi="宋体"/>
                <w:sz w:val="24"/>
                <w:szCs w:val="24"/>
              </w:rPr>
            </w:pPr>
            <w:r>
              <w:rPr>
                <w:rFonts w:hAnsi="宋体"/>
                <w:sz w:val="24"/>
                <w:szCs w:val="24"/>
              </w:rPr>
              <w:t>1</w:t>
            </w:r>
            <w:r>
              <w:rPr>
                <w:rFonts w:hint="default" w:hAnsi="宋体"/>
                <w:sz w:val="24"/>
                <w:szCs w:val="24"/>
              </w:rPr>
              <w:t>2</w:t>
            </w:r>
          </w:p>
        </w:tc>
        <w:tc>
          <w:tcPr>
            <w:tcW w:w="1701" w:type="dxa"/>
            <w:noWrap w:val="0"/>
            <w:vAlign w:val="center"/>
          </w:tcPr>
          <w:p w14:paraId="17EE573A">
            <w:pPr>
              <w:spacing w:line="360" w:lineRule="auto"/>
              <w:jc w:val="center"/>
              <w:rPr>
                <w:rFonts w:ascii="宋体" w:hAnsi="宋体"/>
                <w:sz w:val="24"/>
              </w:rPr>
            </w:pPr>
            <w:r>
              <w:rPr>
                <w:rFonts w:ascii="宋体" w:hAnsi="宋体"/>
                <w:sz w:val="24"/>
              </w:rPr>
              <w:t>联系方式</w:t>
            </w:r>
          </w:p>
        </w:tc>
        <w:tc>
          <w:tcPr>
            <w:tcW w:w="7540" w:type="dxa"/>
            <w:noWrap w:val="0"/>
            <w:vAlign w:val="center"/>
          </w:tcPr>
          <w:p w14:paraId="27D8BF86">
            <w:pPr>
              <w:spacing w:line="360" w:lineRule="auto"/>
              <w:jc w:val="left"/>
              <w:rPr>
                <w:rFonts w:ascii="宋体" w:hAnsi="宋体"/>
                <w:sz w:val="24"/>
              </w:rPr>
            </w:pPr>
            <w:r>
              <w:rPr>
                <w:rFonts w:ascii="宋体" w:hAnsi="宋体"/>
                <w:sz w:val="24"/>
              </w:rPr>
              <w:t>接收质疑的联系方式</w:t>
            </w:r>
            <w:r>
              <w:rPr>
                <w:rFonts w:hint="eastAsia" w:ascii="宋体" w:hAnsi="宋体"/>
                <w:sz w:val="24"/>
              </w:rPr>
              <w:t>：</w:t>
            </w:r>
          </w:p>
          <w:p w14:paraId="27CB7717">
            <w:pPr>
              <w:pStyle w:val="337"/>
              <w:spacing w:line="360" w:lineRule="auto"/>
              <w:rPr>
                <w:rFonts w:ascii="宋体" w:hAnsi="宋体"/>
                <w:color w:val="auto"/>
              </w:rPr>
            </w:pPr>
            <w:r>
              <w:rPr>
                <w:rFonts w:ascii="宋体" w:hAnsi="宋体"/>
                <w:color w:val="auto"/>
              </w:rPr>
              <w:t>（1）采购人联系电话、通讯地址详见《第一章采购邀请》。</w:t>
            </w:r>
          </w:p>
          <w:p w14:paraId="326BB0A3">
            <w:pPr>
              <w:spacing w:line="360" w:lineRule="auto"/>
              <w:jc w:val="left"/>
              <w:rPr>
                <w:rFonts w:hint="eastAsia" w:ascii="宋体" w:hAnsi="宋体" w:eastAsia="宋体"/>
                <w:sz w:val="24"/>
                <w:lang w:eastAsia="zh-CN"/>
              </w:rPr>
            </w:pPr>
            <w:r>
              <w:rPr>
                <w:rFonts w:hint="eastAsia" w:ascii="宋体" w:hAnsi="宋体"/>
                <w:sz w:val="24"/>
              </w:rPr>
              <w:t>（</w:t>
            </w:r>
            <w:r>
              <w:rPr>
                <w:rFonts w:ascii="宋体" w:hAnsi="宋体"/>
                <w:sz w:val="24"/>
              </w:rPr>
              <w:t>2</w:t>
            </w:r>
            <w:r>
              <w:rPr>
                <w:rFonts w:hint="eastAsia" w:ascii="宋体" w:hAnsi="宋体"/>
                <w:sz w:val="24"/>
              </w:rPr>
              <w:t>）代理机构：</w:t>
            </w:r>
            <w:r>
              <w:rPr>
                <w:rFonts w:hint="eastAsia" w:ascii="宋体" w:hAnsi="宋体"/>
                <w:sz w:val="24"/>
                <w:lang w:eastAsia="zh-CN"/>
              </w:rPr>
              <w:t>常州市嘉亿工程咨询有限公司</w:t>
            </w:r>
          </w:p>
          <w:p w14:paraId="645E7789">
            <w:pPr>
              <w:spacing w:line="360" w:lineRule="auto"/>
              <w:ind w:firstLine="480"/>
              <w:jc w:val="left"/>
              <w:rPr>
                <w:rFonts w:ascii="宋体" w:hAnsi="宋体"/>
                <w:sz w:val="24"/>
              </w:rPr>
            </w:pPr>
            <w:r>
              <w:rPr>
                <w:rFonts w:ascii="宋体" w:hAnsi="宋体"/>
                <w:sz w:val="24"/>
              </w:rPr>
              <w:t>联系部门：</w:t>
            </w:r>
            <w:r>
              <w:rPr>
                <w:rFonts w:hint="eastAsia" w:ascii="宋体" w:hAnsi="宋体"/>
                <w:sz w:val="24"/>
                <w:u w:val="single"/>
              </w:rPr>
              <w:t>综合办公室</w:t>
            </w:r>
            <w:r>
              <w:rPr>
                <w:rFonts w:ascii="宋体" w:hAnsi="宋体"/>
                <w:sz w:val="24"/>
              </w:rPr>
              <w:t>；</w:t>
            </w:r>
          </w:p>
          <w:p w14:paraId="647C5E95">
            <w:pPr>
              <w:spacing w:line="360" w:lineRule="auto"/>
              <w:ind w:firstLine="480"/>
              <w:jc w:val="left"/>
              <w:rPr>
                <w:rFonts w:ascii="宋体" w:hAnsi="宋体"/>
                <w:sz w:val="24"/>
              </w:rPr>
            </w:pPr>
            <w:r>
              <w:rPr>
                <w:rFonts w:ascii="宋体" w:hAnsi="宋体"/>
                <w:sz w:val="24"/>
              </w:rPr>
              <w:t>联系电话：</w:t>
            </w:r>
            <w:r>
              <w:rPr>
                <w:rFonts w:hint="eastAsia" w:ascii="宋体" w:hAnsi="宋体"/>
                <w:sz w:val="24"/>
                <w:u w:val="single"/>
                <w:lang w:val="en-US" w:eastAsia="zh-CN"/>
              </w:rPr>
              <w:t>13961218997</w:t>
            </w:r>
            <w:r>
              <w:rPr>
                <w:rFonts w:ascii="宋体" w:hAnsi="宋体"/>
                <w:sz w:val="24"/>
              </w:rPr>
              <w:t>；</w:t>
            </w:r>
          </w:p>
          <w:p w14:paraId="6E6979AD">
            <w:pPr>
              <w:spacing w:line="360" w:lineRule="auto"/>
              <w:ind w:firstLine="480"/>
              <w:jc w:val="left"/>
              <w:rPr>
                <w:rFonts w:ascii="宋体" w:hAnsi="宋体"/>
                <w:sz w:val="24"/>
              </w:rPr>
            </w:pPr>
            <w:r>
              <w:rPr>
                <w:rFonts w:ascii="宋体" w:hAnsi="宋体"/>
                <w:sz w:val="24"/>
              </w:rPr>
              <w:t>通讯地址：</w:t>
            </w:r>
            <w:r>
              <w:rPr>
                <w:rFonts w:ascii="宋体" w:hAnsi="宋体"/>
                <w:sz w:val="24"/>
                <w:highlight w:val="none"/>
                <w:u w:val="single"/>
              </w:rPr>
              <w:t>常州</w:t>
            </w:r>
            <w:r>
              <w:rPr>
                <w:rFonts w:hint="eastAsia" w:ascii="宋体" w:hAnsi="宋体"/>
                <w:sz w:val="24"/>
                <w:highlight w:val="none"/>
                <w:u w:val="single"/>
                <w:lang w:eastAsia="zh-CN"/>
              </w:rPr>
              <w:t>科教城530大道西50米</w:t>
            </w:r>
            <w:r>
              <w:rPr>
                <w:rFonts w:hint="eastAsia" w:ascii="宋体" w:hAnsi="宋体"/>
                <w:sz w:val="24"/>
                <w:highlight w:val="none"/>
                <w:u w:val="single"/>
              </w:rPr>
              <w:t>。</w:t>
            </w:r>
          </w:p>
        </w:tc>
      </w:tr>
      <w:tr w14:paraId="1C6EF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DE22852">
            <w:pPr>
              <w:pStyle w:val="23"/>
              <w:spacing w:line="360" w:lineRule="auto"/>
              <w:jc w:val="center"/>
              <w:rPr>
                <w:rFonts w:hint="default" w:hAnsi="宋体"/>
                <w:sz w:val="24"/>
                <w:szCs w:val="24"/>
              </w:rPr>
            </w:pPr>
            <w:r>
              <w:rPr>
                <w:rFonts w:hAnsi="宋体"/>
                <w:sz w:val="24"/>
                <w:szCs w:val="24"/>
              </w:rPr>
              <w:t>1</w:t>
            </w:r>
            <w:r>
              <w:rPr>
                <w:rFonts w:hint="default" w:hAnsi="宋体"/>
                <w:sz w:val="24"/>
                <w:szCs w:val="24"/>
              </w:rPr>
              <w:t>3</w:t>
            </w:r>
          </w:p>
        </w:tc>
        <w:tc>
          <w:tcPr>
            <w:tcW w:w="1701" w:type="dxa"/>
            <w:noWrap w:val="0"/>
            <w:vAlign w:val="center"/>
          </w:tcPr>
          <w:p w14:paraId="313B44CD">
            <w:pPr>
              <w:spacing w:line="360" w:lineRule="auto"/>
              <w:jc w:val="center"/>
              <w:rPr>
                <w:rFonts w:ascii="宋体" w:hAnsi="宋体"/>
                <w:sz w:val="24"/>
              </w:rPr>
            </w:pPr>
            <w:r>
              <w:rPr>
                <w:rFonts w:ascii="宋体" w:hAnsi="宋体"/>
                <w:sz w:val="24"/>
              </w:rPr>
              <w:t>纸质中标</w:t>
            </w:r>
            <w:r>
              <w:rPr>
                <w:rFonts w:hint="eastAsia" w:ascii="宋体" w:hAnsi="宋体"/>
                <w:sz w:val="24"/>
              </w:rPr>
              <w:t>（成交）</w:t>
            </w:r>
            <w:r>
              <w:rPr>
                <w:rFonts w:ascii="宋体" w:hAnsi="宋体"/>
                <w:sz w:val="24"/>
              </w:rPr>
              <w:t>文件</w:t>
            </w:r>
          </w:p>
        </w:tc>
        <w:tc>
          <w:tcPr>
            <w:tcW w:w="7540" w:type="dxa"/>
            <w:noWrap w:val="0"/>
            <w:vAlign w:val="center"/>
          </w:tcPr>
          <w:p w14:paraId="27E2E9F3">
            <w:pPr>
              <w:spacing w:line="360" w:lineRule="auto"/>
              <w:jc w:val="left"/>
              <w:rPr>
                <w:rFonts w:ascii="宋体" w:hAnsi="宋体"/>
                <w:sz w:val="24"/>
              </w:rPr>
            </w:pPr>
            <w:r>
              <w:rPr>
                <w:rFonts w:hint="eastAsia" w:ascii="宋体" w:hAnsi="宋体"/>
                <w:sz w:val="24"/>
              </w:rPr>
              <w:t>中标（成交）单位在签订合同前需递交与电子响应文件内容一致的纸质响应文件三份（需打印清晰，标注目录及页码），作为项目归档使用。（递交方式可采用邮寄或现场送达，联系方式见《第一章 采购邀请》）</w:t>
            </w:r>
          </w:p>
        </w:tc>
      </w:tr>
      <w:tr w14:paraId="2232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7BAB1A2">
            <w:pPr>
              <w:pStyle w:val="23"/>
              <w:spacing w:line="360" w:lineRule="auto"/>
              <w:jc w:val="center"/>
              <w:rPr>
                <w:rFonts w:hint="default" w:hAnsi="宋体"/>
                <w:sz w:val="24"/>
                <w:szCs w:val="24"/>
              </w:rPr>
            </w:pPr>
            <w:r>
              <w:rPr>
                <w:rFonts w:hAnsi="宋体"/>
                <w:sz w:val="24"/>
                <w:szCs w:val="24"/>
              </w:rPr>
              <w:t>1</w:t>
            </w:r>
            <w:r>
              <w:rPr>
                <w:rFonts w:hint="default" w:hAnsi="宋体"/>
                <w:sz w:val="24"/>
                <w:szCs w:val="24"/>
              </w:rPr>
              <w:t>4</w:t>
            </w:r>
          </w:p>
        </w:tc>
        <w:tc>
          <w:tcPr>
            <w:tcW w:w="1701" w:type="dxa"/>
            <w:noWrap w:val="0"/>
            <w:vAlign w:val="center"/>
          </w:tcPr>
          <w:p w14:paraId="45B8325C">
            <w:pPr>
              <w:spacing w:line="360" w:lineRule="auto"/>
              <w:jc w:val="center"/>
              <w:rPr>
                <w:rFonts w:ascii="宋体" w:hAnsi="宋体"/>
                <w:sz w:val="24"/>
              </w:rPr>
            </w:pPr>
            <w:r>
              <w:rPr>
                <w:rFonts w:ascii="宋体" w:hAnsi="宋体"/>
                <w:sz w:val="24"/>
              </w:rPr>
              <w:t>代理费</w:t>
            </w:r>
          </w:p>
        </w:tc>
        <w:tc>
          <w:tcPr>
            <w:tcW w:w="7540" w:type="dxa"/>
            <w:noWrap w:val="0"/>
            <w:vAlign w:val="center"/>
          </w:tcPr>
          <w:p w14:paraId="7EBFFCD2">
            <w:pPr>
              <w:spacing w:line="276" w:lineRule="auto"/>
              <w:jc w:val="left"/>
              <w:rPr>
                <w:rFonts w:ascii="宋体" w:hAnsi="宋体"/>
                <w:sz w:val="24"/>
              </w:rPr>
            </w:pPr>
            <w:r>
              <w:rPr>
                <w:rFonts w:ascii="宋体" w:hAnsi="宋体"/>
                <w:sz w:val="24"/>
              </w:rPr>
              <w:t>收费对象：</w:t>
            </w:r>
          </w:p>
          <w:p w14:paraId="2BFF0F4B">
            <w:pPr>
              <w:spacing w:line="276" w:lineRule="auto"/>
              <w:jc w:val="left"/>
              <w:rPr>
                <w:rFonts w:ascii="宋体" w:hAnsi="宋体"/>
                <w:sz w:val="24"/>
              </w:rPr>
            </w:pPr>
            <w:r>
              <w:rPr>
                <w:rFonts w:ascii="宋体" w:hAnsi="宋体"/>
              </w:rPr>
              <w:t>□</w:t>
            </w:r>
            <w:r>
              <w:rPr>
                <w:rFonts w:ascii="宋体" w:hAnsi="宋体"/>
                <w:sz w:val="24"/>
              </w:rPr>
              <w:t>采购人</w:t>
            </w:r>
          </w:p>
          <w:p w14:paraId="68B0D619">
            <w:pPr>
              <w:spacing w:line="276" w:lineRule="auto"/>
              <w:jc w:val="left"/>
              <w:rPr>
                <w:rFonts w:ascii="宋体" w:hAnsi="宋体"/>
                <w:sz w:val="24"/>
              </w:rPr>
            </w:pPr>
            <w:r>
              <w:rPr>
                <w:rFonts w:ascii="宋体" w:hAnsi="宋体" w:cs="Arial"/>
                <w:b/>
                <w:sz w:val="24"/>
              </w:rPr>
              <w:t>■</w:t>
            </w:r>
            <w:r>
              <w:rPr>
                <w:rFonts w:ascii="宋体" w:hAnsi="宋体"/>
                <w:sz w:val="24"/>
              </w:rPr>
              <w:t>成交供应商</w:t>
            </w:r>
          </w:p>
          <w:p w14:paraId="3A6598D2">
            <w:pPr>
              <w:spacing w:line="276" w:lineRule="auto"/>
              <w:jc w:val="left"/>
              <w:rPr>
                <w:rFonts w:ascii="宋体" w:hAnsi="宋体"/>
                <w:sz w:val="24"/>
              </w:rPr>
            </w:pPr>
            <w:r>
              <w:rPr>
                <w:rFonts w:ascii="宋体" w:hAnsi="宋体"/>
                <w:sz w:val="24"/>
              </w:rPr>
              <w:t>收费标准：</w:t>
            </w:r>
            <w:r>
              <w:rPr>
                <w:rFonts w:hint="eastAsia" w:ascii="宋体" w:hAnsi="宋体"/>
                <w:sz w:val="24"/>
              </w:rPr>
              <w:t>以中标（成交）金额为基数，收费比例按差额定率累进法计算：100万元以下1.5%，100万元（含）―500万元</w:t>
            </w:r>
            <w:r>
              <w:rPr>
                <w:rFonts w:ascii="宋体" w:hAnsi="宋体"/>
                <w:sz w:val="24"/>
              </w:rPr>
              <w:t>0.8</w:t>
            </w:r>
            <w:r>
              <w:rPr>
                <w:rFonts w:hint="eastAsia" w:ascii="宋体" w:hAnsi="宋体"/>
                <w:sz w:val="24"/>
              </w:rPr>
              <w:t>%，以上略。按上述标准计算，计算的金额低于人民币</w:t>
            </w:r>
            <w:r>
              <w:rPr>
                <w:rFonts w:ascii="宋体" w:hAnsi="宋体"/>
                <w:sz w:val="24"/>
              </w:rPr>
              <w:t>3</w:t>
            </w:r>
            <w:r>
              <w:rPr>
                <w:rFonts w:hint="eastAsia" w:ascii="宋体" w:hAnsi="宋体"/>
                <w:sz w:val="24"/>
              </w:rPr>
              <w:t>000元整，则服务费按人民币</w:t>
            </w:r>
            <w:r>
              <w:rPr>
                <w:rFonts w:ascii="宋体" w:hAnsi="宋体"/>
                <w:sz w:val="24"/>
              </w:rPr>
              <w:t>3</w:t>
            </w:r>
            <w:r>
              <w:rPr>
                <w:rFonts w:hint="eastAsia" w:ascii="宋体" w:hAnsi="宋体"/>
                <w:sz w:val="24"/>
              </w:rPr>
              <w:t>000元整计取。</w:t>
            </w:r>
          </w:p>
          <w:p w14:paraId="716BFFD5">
            <w:pPr>
              <w:spacing w:line="276" w:lineRule="auto"/>
              <w:jc w:val="left"/>
              <w:rPr>
                <w:rFonts w:ascii="宋体" w:hAnsi="宋体"/>
                <w:sz w:val="24"/>
              </w:rPr>
            </w:pPr>
            <w:r>
              <w:rPr>
                <w:rFonts w:ascii="宋体" w:hAnsi="宋体"/>
                <w:sz w:val="24"/>
              </w:rPr>
              <w:t>缴纳时间：</w:t>
            </w:r>
            <w:r>
              <w:rPr>
                <w:rFonts w:hint="eastAsia" w:ascii="宋体" w:hAnsi="宋体"/>
                <w:sz w:val="24"/>
              </w:rPr>
              <w:t>领取中标（成交）通知书之前</w:t>
            </w:r>
            <w:r>
              <w:rPr>
                <w:rFonts w:ascii="宋体" w:hAnsi="宋体"/>
                <w:sz w:val="24"/>
              </w:rPr>
              <w:t>。</w:t>
            </w:r>
          </w:p>
        </w:tc>
      </w:tr>
    </w:tbl>
    <w:p w14:paraId="24E9FD1E">
      <w:pPr>
        <w:tabs>
          <w:tab w:val="left" w:pos="5580"/>
        </w:tabs>
        <w:spacing w:line="360" w:lineRule="auto"/>
        <w:jc w:val="both"/>
        <w:rPr>
          <w:rFonts w:ascii="宋体" w:hAnsi="宋体"/>
          <w:sz w:val="24"/>
        </w:rPr>
        <w:sectPr>
          <w:footerReference r:id="rId5" w:type="first"/>
          <w:headerReference r:id="rId3" w:type="default"/>
          <w:footerReference r:id="rId4" w:type="default"/>
          <w:pgSz w:w="11907" w:h="16840"/>
          <w:pgMar w:top="1418" w:right="1134" w:bottom="1418" w:left="1701" w:header="851" w:footer="851" w:gutter="0"/>
          <w:pgNumType w:start="1"/>
          <w:cols w:space="720" w:num="1"/>
          <w:titlePg/>
          <w:docGrid w:linePitch="360" w:charSpace="0"/>
        </w:sectPr>
      </w:pPr>
    </w:p>
    <w:p w14:paraId="4D4E9C8A">
      <w:pPr>
        <w:pStyle w:val="3"/>
        <w:tabs>
          <w:tab w:val="center" w:pos="4592"/>
          <w:tab w:val="left" w:pos="7860"/>
        </w:tabs>
        <w:spacing w:before="0" w:line="360" w:lineRule="auto"/>
        <w:rPr>
          <w:rFonts w:ascii="宋体" w:hAnsi="宋体" w:eastAsia="宋体"/>
          <w:sz w:val="28"/>
        </w:rPr>
      </w:pPr>
      <w:bookmarkStart w:id="123" w:name="_Toc152678623"/>
      <w:bookmarkStart w:id="124" w:name="_Toc152678542"/>
      <w:bookmarkStart w:id="125" w:name="_Toc226965791"/>
      <w:bookmarkStart w:id="126" w:name="_Toc226337214"/>
      <w:bookmarkStart w:id="127" w:name="_Toc226965708"/>
      <w:bookmarkStart w:id="128" w:name="_Toc226309762"/>
      <w:bookmarkStart w:id="129" w:name="_Toc150774618"/>
      <w:bookmarkStart w:id="130" w:name="_Toc142311020"/>
      <w:bookmarkStart w:id="131" w:name="_Toc151193832"/>
      <w:bookmarkStart w:id="132" w:name="_Toc195842883"/>
      <w:bookmarkStart w:id="133" w:name="_Toc150774723"/>
      <w:bookmarkStart w:id="134" w:name="_Toc305158786"/>
      <w:bookmarkStart w:id="135" w:name="_Toc150509269"/>
      <w:bookmarkStart w:id="136" w:name="_Toc520356143"/>
      <w:bookmarkStart w:id="137" w:name="_Toc151193760"/>
      <w:bookmarkStart w:id="138" w:name="_Toc151193688"/>
      <w:bookmarkStart w:id="139" w:name="_Toc151190145"/>
      <w:bookmarkStart w:id="140" w:name="_Toc2184"/>
      <w:bookmarkStart w:id="141" w:name="_Toc150480756"/>
      <w:bookmarkStart w:id="142" w:name="_Toc160609030"/>
      <w:bookmarkStart w:id="143" w:name="_Toc305158860"/>
      <w:bookmarkStart w:id="144" w:name="_Toc151193616"/>
      <w:bookmarkStart w:id="145" w:name="_Toc265228356"/>
      <w:bookmarkStart w:id="146" w:name="_Toc127151518"/>
      <w:bookmarkStart w:id="147" w:name="_Toc151193906"/>
      <w:bookmarkStart w:id="148" w:name="_Toc264969208"/>
      <w:bookmarkStart w:id="149" w:name="_Toc27508"/>
      <w:r>
        <w:rPr>
          <w:rFonts w:hint="eastAsia" w:ascii="宋体" w:hAnsi="宋体" w:eastAsia="宋体"/>
          <w:sz w:val="28"/>
        </w:rPr>
        <w:t>第二节</w:t>
      </w:r>
      <w:r>
        <w:rPr>
          <w:rFonts w:ascii="宋体" w:hAnsi="宋体" w:eastAsia="宋体"/>
          <w:sz w:val="28"/>
        </w:rPr>
        <w:t xml:space="preserve"> 说  明</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6A4BA820">
      <w:pPr>
        <w:keepNext/>
        <w:keepLines/>
        <w:spacing w:line="360" w:lineRule="auto"/>
        <w:outlineLvl w:val="2"/>
        <w:rPr>
          <w:rFonts w:ascii="宋体" w:hAnsi="宋体"/>
          <w:b/>
          <w:bCs/>
          <w:sz w:val="32"/>
          <w:szCs w:val="32"/>
        </w:rPr>
      </w:pPr>
      <w:bookmarkStart w:id="150" w:name="_Toc160609031"/>
      <w:bookmarkStart w:id="151" w:name="_Toc20823275"/>
      <w:bookmarkStart w:id="152" w:name="_Toc120614214"/>
      <w:bookmarkStart w:id="153" w:name="_Toc152678624"/>
      <w:bookmarkStart w:id="154" w:name="_Toc513029203"/>
      <w:bookmarkStart w:id="155" w:name="_Toc19424"/>
      <w:bookmarkStart w:id="156" w:name="_Toc152678543"/>
      <w:bookmarkStart w:id="157" w:name="_Toc28733"/>
      <w:bookmarkStart w:id="158" w:name="_Toc16938519"/>
      <w:bookmarkStart w:id="159" w:name="_Toc353873934"/>
      <w:bookmarkStart w:id="160" w:name="_Toc305158822"/>
      <w:bookmarkStart w:id="161" w:name="_Toc150774759"/>
      <w:bookmarkStart w:id="162" w:name="_Toc305158896"/>
      <w:bookmarkStart w:id="163" w:name="_Toc127151554"/>
      <w:bookmarkStart w:id="164" w:name="_Toc265228392"/>
      <w:bookmarkStart w:id="165" w:name="_Toc353825544"/>
      <w:bookmarkStart w:id="166" w:name="_Toc226965827"/>
      <w:bookmarkStart w:id="167" w:name="_Toc226337250"/>
      <w:bookmarkStart w:id="168" w:name="_Toc353873664"/>
      <w:bookmarkStart w:id="169" w:name="_Toc264969244"/>
      <w:bookmarkStart w:id="170" w:name="_Toc150480792"/>
      <w:bookmarkStart w:id="171" w:name="_Toc142311056"/>
      <w:r>
        <w:rPr>
          <w:rFonts w:hint="eastAsia" w:ascii="宋体" w:hAnsi="宋体"/>
          <w:b/>
          <w:bCs/>
          <w:sz w:val="32"/>
          <w:szCs w:val="32"/>
        </w:rPr>
        <w:t>一、总则</w:t>
      </w:r>
      <w:bookmarkEnd w:id="150"/>
      <w:bookmarkEnd w:id="151"/>
      <w:bookmarkEnd w:id="152"/>
      <w:bookmarkEnd w:id="153"/>
      <w:bookmarkEnd w:id="154"/>
      <w:bookmarkEnd w:id="155"/>
      <w:bookmarkEnd w:id="156"/>
      <w:bookmarkEnd w:id="157"/>
      <w:bookmarkEnd w:id="158"/>
    </w:p>
    <w:p w14:paraId="0EB8F5B7">
      <w:pPr>
        <w:keepNext/>
        <w:keepLines/>
        <w:spacing w:line="360" w:lineRule="auto"/>
        <w:outlineLvl w:val="3"/>
        <w:rPr>
          <w:rFonts w:ascii="宋体" w:hAnsi="宋体" w:cs="Arial"/>
          <w:sz w:val="28"/>
          <w:szCs w:val="28"/>
        </w:rPr>
      </w:pPr>
      <w:bookmarkStart w:id="172" w:name="_Hlt16619475"/>
      <w:bookmarkEnd w:id="172"/>
      <w:bookmarkStart w:id="173" w:name="_Toc458694821"/>
      <w:bookmarkStart w:id="174" w:name="_Toc513029204"/>
      <w:bookmarkStart w:id="175" w:name="_Toc16938520"/>
      <w:bookmarkStart w:id="176" w:name="_Toc20823276"/>
      <w:r>
        <w:rPr>
          <w:rFonts w:hint="eastAsia" w:ascii="宋体" w:hAnsi="宋体" w:cs="Arial"/>
          <w:sz w:val="28"/>
          <w:szCs w:val="28"/>
        </w:rPr>
        <w:t>1</w:t>
      </w:r>
      <w:bookmarkEnd w:id="173"/>
      <w:r>
        <w:rPr>
          <w:rFonts w:hint="eastAsia" w:ascii="宋体" w:hAnsi="宋体" w:cs="Arial"/>
          <w:sz w:val="28"/>
          <w:szCs w:val="28"/>
        </w:rPr>
        <w:t>、采购方式</w:t>
      </w:r>
      <w:bookmarkEnd w:id="174"/>
      <w:bookmarkEnd w:id="175"/>
      <w:bookmarkEnd w:id="176"/>
    </w:p>
    <w:p w14:paraId="2372FBA0">
      <w:pPr>
        <w:spacing w:line="360" w:lineRule="auto"/>
        <w:rPr>
          <w:rFonts w:ascii="宋体" w:hAnsi="宋体"/>
          <w:sz w:val="24"/>
          <w:szCs w:val="21"/>
        </w:rPr>
      </w:pPr>
      <w:r>
        <w:rPr>
          <w:rFonts w:hint="eastAsia" w:ascii="宋体" w:hAnsi="宋体"/>
          <w:sz w:val="24"/>
          <w:szCs w:val="21"/>
        </w:rPr>
        <w:t>1.1 本次政府采购活动采取竞争性磋商(以下简称磋商)方式，本磋商文件仅适用于磋商公告中所述项目。</w:t>
      </w:r>
    </w:p>
    <w:p w14:paraId="123D870E">
      <w:pPr>
        <w:keepNext/>
        <w:keepLines/>
        <w:spacing w:line="360" w:lineRule="auto"/>
        <w:outlineLvl w:val="3"/>
        <w:rPr>
          <w:rFonts w:ascii="宋体" w:hAnsi="宋体" w:cs="Arial"/>
          <w:sz w:val="28"/>
          <w:szCs w:val="28"/>
        </w:rPr>
      </w:pPr>
      <w:bookmarkStart w:id="177" w:name="_Toc513029205"/>
      <w:bookmarkStart w:id="178" w:name="_Toc20823277"/>
      <w:bookmarkStart w:id="179" w:name="_Toc16938521"/>
      <w:r>
        <w:rPr>
          <w:rFonts w:hint="eastAsia" w:ascii="宋体" w:hAnsi="宋体" w:cs="Arial"/>
          <w:sz w:val="28"/>
          <w:szCs w:val="28"/>
        </w:rPr>
        <w:t>2、合格的</w:t>
      </w:r>
      <w:bookmarkEnd w:id="177"/>
      <w:bookmarkEnd w:id="178"/>
      <w:bookmarkEnd w:id="179"/>
      <w:r>
        <w:rPr>
          <w:rFonts w:hint="eastAsia" w:ascii="宋体" w:hAnsi="宋体" w:cs="Arial"/>
          <w:sz w:val="28"/>
          <w:szCs w:val="28"/>
        </w:rPr>
        <w:t>供应商</w:t>
      </w:r>
    </w:p>
    <w:p w14:paraId="7A7FA65F">
      <w:pPr>
        <w:spacing w:line="360" w:lineRule="auto"/>
        <w:rPr>
          <w:rFonts w:ascii="宋体" w:hAnsi="宋体"/>
          <w:sz w:val="24"/>
        </w:rPr>
      </w:pPr>
      <w:r>
        <w:rPr>
          <w:rFonts w:hint="eastAsia" w:ascii="宋体" w:hAnsi="宋体"/>
          <w:sz w:val="24"/>
        </w:rPr>
        <w:t>2.1满足磋商公告中供应商资格要求的规定。</w:t>
      </w:r>
    </w:p>
    <w:p w14:paraId="630F0E14">
      <w:pPr>
        <w:spacing w:line="360" w:lineRule="auto"/>
        <w:rPr>
          <w:rFonts w:ascii="宋体" w:hAnsi="宋体"/>
          <w:sz w:val="24"/>
        </w:rPr>
      </w:pPr>
      <w:r>
        <w:rPr>
          <w:rFonts w:hint="eastAsia" w:ascii="宋体" w:hAnsi="宋体"/>
          <w:sz w:val="24"/>
        </w:rPr>
        <w:t>2.2 满足本磋商文件实质性要求和条件的规定。</w:t>
      </w:r>
    </w:p>
    <w:p w14:paraId="0C53EC09">
      <w:pPr>
        <w:keepNext/>
        <w:keepLines/>
        <w:spacing w:line="360" w:lineRule="auto"/>
        <w:outlineLvl w:val="3"/>
        <w:rPr>
          <w:rFonts w:ascii="宋体" w:hAnsi="宋体" w:cs="Arial"/>
          <w:sz w:val="28"/>
          <w:szCs w:val="28"/>
        </w:rPr>
      </w:pPr>
      <w:bookmarkStart w:id="180" w:name="_Toc20823278"/>
      <w:bookmarkStart w:id="181" w:name="_Toc16938522"/>
      <w:bookmarkStart w:id="182" w:name="_Toc513029206"/>
      <w:r>
        <w:rPr>
          <w:rFonts w:hint="eastAsia" w:ascii="宋体" w:hAnsi="宋体" w:cs="Arial"/>
          <w:sz w:val="28"/>
          <w:szCs w:val="28"/>
        </w:rPr>
        <w:t>3、适用法律</w:t>
      </w:r>
      <w:bookmarkEnd w:id="180"/>
      <w:bookmarkEnd w:id="181"/>
      <w:bookmarkEnd w:id="182"/>
    </w:p>
    <w:p w14:paraId="2EA6A2F3">
      <w:pPr>
        <w:spacing w:line="360" w:lineRule="auto"/>
        <w:rPr>
          <w:rFonts w:ascii="宋体" w:hAnsi="宋体"/>
          <w:sz w:val="24"/>
          <w:szCs w:val="21"/>
        </w:rPr>
      </w:pPr>
      <w:r>
        <w:rPr>
          <w:rFonts w:hint="eastAsia" w:ascii="宋体" w:hAnsi="宋体"/>
          <w:sz w:val="24"/>
          <w:szCs w:val="21"/>
        </w:rPr>
        <w:t>3.1 本次磋商及由此产生的合同受中华人民共和国有关的法律法规制约和保护</w:t>
      </w:r>
      <w:r>
        <w:rPr>
          <w:rFonts w:ascii="宋体" w:hAnsi="宋体"/>
          <w:sz w:val="24"/>
          <w:szCs w:val="21"/>
        </w:rPr>
        <w:t>。</w:t>
      </w:r>
    </w:p>
    <w:p w14:paraId="0A41C034">
      <w:pPr>
        <w:keepNext/>
        <w:keepLines/>
        <w:spacing w:line="360" w:lineRule="auto"/>
        <w:outlineLvl w:val="3"/>
        <w:rPr>
          <w:rFonts w:ascii="宋体" w:hAnsi="宋体" w:cs="Arial"/>
          <w:sz w:val="28"/>
          <w:szCs w:val="28"/>
        </w:rPr>
      </w:pPr>
      <w:bookmarkStart w:id="183" w:name="_Toc16938523"/>
      <w:bookmarkStart w:id="184" w:name="_Toc513029207"/>
      <w:bookmarkStart w:id="185" w:name="_Toc462564067"/>
      <w:bookmarkStart w:id="186" w:name="_Toc20823279"/>
      <w:r>
        <w:rPr>
          <w:rFonts w:hint="eastAsia" w:ascii="宋体" w:hAnsi="宋体" w:cs="Arial"/>
          <w:sz w:val="28"/>
          <w:szCs w:val="28"/>
        </w:rPr>
        <w:t>4、磋商费用</w:t>
      </w:r>
      <w:bookmarkEnd w:id="183"/>
      <w:bookmarkEnd w:id="184"/>
      <w:bookmarkEnd w:id="185"/>
      <w:bookmarkEnd w:id="186"/>
    </w:p>
    <w:p w14:paraId="50FACDF6">
      <w:pPr>
        <w:spacing w:line="360" w:lineRule="auto"/>
        <w:rPr>
          <w:rFonts w:ascii="宋体" w:hAnsi="宋体"/>
          <w:sz w:val="24"/>
          <w:szCs w:val="21"/>
        </w:rPr>
      </w:pPr>
      <w:r>
        <w:rPr>
          <w:rFonts w:hint="eastAsia" w:ascii="宋体" w:hAnsi="宋体"/>
          <w:bCs/>
          <w:sz w:val="24"/>
          <w:szCs w:val="21"/>
        </w:rPr>
        <w:t>4.1</w:t>
      </w:r>
      <w:r>
        <w:rPr>
          <w:rFonts w:hint="eastAsia" w:ascii="宋体" w:hAnsi="宋体"/>
          <w:sz w:val="24"/>
          <w:szCs w:val="21"/>
        </w:rPr>
        <w:t>供应商应自行承担所有与参加本次磋商有关的费用，无论磋商过程中的做法和结果如何，</w:t>
      </w:r>
      <w:bookmarkStart w:id="187" w:name="_Hlk152664545"/>
      <w:r>
        <w:rPr>
          <w:rFonts w:hint="eastAsia" w:ascii="宋体" w:hAnsi="宋体"/>
          <w:sz w:val="24"/>
          <w:szCs w:val="21"/>
          <w:lang w:eastAsia="zh-CN"/>
        </w:rPr>
        <w:t>常州市嘉亿工程咨询有限公司</w:t>
      </w:r>
      <w:r>
        <w:rPr>
          <w:rFonts w:hint="eastAsia" w:ascii="宋体" w:hAnsi="宋体"/>
          <w:sz w:val="24"/>
          <w:szCs w:val="21"/>
        </w:rPr>
        <w:t>（以下简称代理机构）</w:t>
      </w:r>
      <w:bookmarkEnd w:id="187"/>
      <w:r>
        <w:rPr>
          <w:rFonts w:hint="eastAsia" w:ascii="宋体" w:hAnsi="宋体"/>
          <w:sz w:val="24"/>
          <w:szCs w:val="21"/>
        </w:rPr>
        <w:t>在任何情况下均无义务和责任承担这些费用。</w:t>
      </w:r>
    </w:p>
    <w:p w14:paraId="4D64BE92">
      <w:pPr>
        <w:spacing w:line="360" w:lineRule="auto"/>
        <w:rPr>
          <w:rFonts w:ascii="宋体" w:hAnsi="宋体"/>
          <w:sz w:val="24"/>
          <w:szCs w:val="21"/>
        </w:rPr>
      </w:pPr>
      <w:r>
        <w:rPr>
          <w:rFonts w:hint="eastAsia" w:ascii="宋体" w:hAnsi="宋体"/>
          <w:sz w:val="24"/>
          <w:szCs w:val="21"/>
        </w:rPr>
        <w:t>4.2代理费：收费对象、收费标准及缴纳时间见《供应商须知资料表》。由成交供应商支付的，成交供应商须一次性向采购代理机构缴纳代理费，报价应包含代理费用。</w:t>
      </w:r>
    </w:p>
    <w:p w14:paraId="0B75CC09">
      <w:pPr>
        <w:keepNext/>
        <w:keepLines/>
        <w:spacing w:line="360" w:lineRule="auto"/>
        <w:outlineLvl w:val="3"/>
        <w:rPr>
          <w:rFonts w:ascii="宋体" w:hAnsi="宋体" w:cs="Arial"/>
          <w:sz w:val="28"/>
          <w:szCs w:val="28"/>
        </w:rPr>
      </w:pPr>
      <w:r>
        <w:rPr>
          <w:rFonts w:hint="eastAsia" w:ascii="宋体" w:hAnsi="宋体" w:cs="Arial"/>
          <w:b/>
          <w:bCs/>
          <w:sz w:val="30"/>
          <w:szCs w:val="28"/>
        </w:rPr>
        <w:t>5、</w:t>
      </w:r>
      <w:r>
        <w:rPr>
          <w:rFonts w:hint="eastAsia" w:ascii="宋体" w:hAnsi="宋体" w:cs="Arial"/>
          <w:sz w:val="28"/>
          <w:szCs w:val="28"/>
        </w:rPr>
        <w:t>磋商文件的约束力</w:t>
      </w:r>
    </w:p>
    <w:p w14:paraId="7BC8D881">
      <w:pPr>
        <w:spacing w:line="360" w:lineRule="auto"/>
        <w:rPr>
          <w:rFonts w:ascii="宋体" w:hAnsi="宋体"/>
          <w:sz w:val="24"/>
        </w:rPr>
      </w:pPr>
      <w:r>
        <w:rPr>
          <w:rFonts w:hint="eastAsia" w:ascii="宋体" w:hAnsi="宋体"/>
          <w:bCs/>
          <w:sz w:val="24"/>
        </w:rPr>
        <w:t>5.1</w:t>
      </w:r>
      <w:r>
        <w:rPr>
          <w:rFonts w:hint="eastAsia" w:ascii="宋体" w:hAnsi="宋体"/>
          <w:sz w:val="24"/>
        </w:rPr>
        <w:t>供应商一旦参加本项目采购活动，即被认为接受了本磋商文件的规定和约束。</w:t>
      </w:r>
    </w:p>
    <w:p w14:paraId="5D8DDAF4">
      <w:pPr>
        <w:keepNext/>
        <w:keepLines/>
        <w:spacing w:line="360" w:lineRule="auto"/>
        <w:outlineLvl w:val="2"/>
        <w:rPr>
          <w:rFonts w:ascii="宋体" w:hAnsi="宋体"/>
          <w:b/>
          <w:bCs/>
          <w:sz w:val="32"/>
          <w:szCs w:val="32"/>
        </w:rPr>
      </w:pPr>
      <w:bookmarkStart w:id="188" w:name="_Toc120614215"/>
      <w:bookmarkStart w:id="189" w:name="_Toc20823281"/>
      <w:bookmarkStart w:id="190" w:name="_Toc513029209"/>
      <w:bookmarkStart w:id="191" w:name="_Toc16938525"/>
      <w:bookmarkStart w:id="192" w:name="_Toc152678625"/>
      <w:bookmarkStart w:id="193" w:name="_Toc160609032"/>
      <w:bookmarkStart w:id="194" w:name="_Toc30882"/>
      <w:bookmarkStart w:id="195" w:name="_Toc152678544"/>
      <w:bookmarkStart w:id="196" w:name="_Toc22174"/>
      <w:r>
        <w:rPr>
          <w:rFonts w:hint="eastAsia" w:ascii="宋体" w:hAnsi="宋体"/>
          <w:b/>
          <w:bCs/>
          <w:sz w:val="32"/>
          <w:szCs w:val="32"/>
        </w:rPr>
        <w:t>二、</w:t>
      </w:r>
      <w:bookmarkEnd w:id="188"/>
      <w:bookmarkEnd w:id="189"/>
      <w:bookmarkEnd w:id="190"/>
      <w:bookmarkEnd w:id="191"/>
      <w:r>
        <w:rPr>
          <w:rFonts w:hint="eastAsia" w:ascii="宋体" w:hAnsi="宋体"/>
          <w:b/>
          <w:bCs/>
          <w:sz w:val="32"/>
          <w:szCs w:val="32"/>
        </w:rPr>
        <w:t>磋商文件</w:t>
      </w:r>
      <w:bookmarkEnd w:id="192"/>
      <w:bookmarkEnd w:id="193"/>
      <w:bookmarkEnd w:id="194"/>
      <w:bookmarkEnd w:id="195"/>
      <w:bookmarkEnd w:id="196"/>
    </w:p>
    <w:p w14:paraId="1BBE0DB1">
      <w:pPr>
        <w:keepNext/>
        <w:keepLines/>
        <w:spacing w:line="360" w:lineRule="auto"/>
        <w:outlineLvl w:val="3"/>
        <w:rPr>
          <w:rFonts w:ascii="宋体" w:hAnsi="宋体" w:cs="Arial"/>
          <w:sz w:val="28"/>
          <w:szCs w:val="28"/>
        </w:rPr>
      </w:pPr>
      <w:bookmarkStart w:id="197" w:name="_Toc16938526"/>
      <w:bookmarkStart w:id="198" w:name="_Toc20823282"/>
      <w:bookmarkStart w:id="199" w:name="_Toc513029210"/>
      <w:r>
        <w:rPr>
          <w:rFonts w:hint="eastAsia" w:ascii="宋体" w:hAnsi="宋体" w:cs="Arial"/>
          <w:sz w:val="28"/>
          <w:szCs w:val="28"/>
        </w:rPr>
        <w:t>6、磋商文件构成</w:t>
      </w:r>
      <w:bookmarkEnd w:id="197"/>
      <w:bookmarkEnd w:id="198"/>
      <w:bookmarkEnd w:id="199"/>
    </w:p>
    <w:p w14:paraId="205DD4C2">
      <w:pPr>
        <w:spacing w:line="360" w:lineRule="auto"/>
        <w:rPr>
          <w:rFonts w:ascii="宋体" w:hAnsi="宋体"/>
          <w:sz w:val="24"/>
          <w:szCs w:val="21"/>
        </w:rPr>
      </w:pPr>
      <w:r>
        <w:rPr>
          <w:rFonts w:hint="eastAsia" w:ascii="宋体" w:hAnsi="宋体"/>
          <w:bCs/>
          <w:sz w:val="24"/>
          <w:szCs w:val="21"/>
        </w:rPr>
        <w:t>6.1</w:t>
      </w:r>
      <w:r>
        <w:rPr>
          <w:rFonts w:hint="eastAsia" w:ascii="宋体" w:hAnsi="宋体"/>
          <w:sz w:val="24"/>
          <w:szCs w:val="21"/>
        </w:rPr>
        <w:t>磋商文件由以下部分组成：</w:t>
      </w:r>
    </w:p>
    <w:p w14:paraId="7097452B">
      <w:pPr>
        <w:spacing w:line="360" w:lineRule="auto"/>
        <w:rPr>
          <w:rFonts w:ascii="宋体" w:hAnsi="宋体"/>
          <w:sz w:val="24"/>
        </w:rPr>
      </w:pPr>
      <w:r>
        <w:rPr>
          <w:rFonts w:hint="eastAsia" w:ascii="宋体" w:hAnsi="宋体"/>
          <w:sz w:val="24"/>
        </w:rPr>
        <w:t>（1）磋商</w:t>
      </w:r>
      <w:r>
        <w:rPr>
          <w:rFonts w:ascii="宋体" w:hAnsi="宋体"/>
          <w:sz w:val="24"/>
        </w:rPr>
        <w:t>邀请</w:t>
      </w:r>
    </w:p>
    <w:p w14:paraId="40E96F15">
      <w:pPr>
        <w:spacing w:line="360" w:lineRule="auto"/>
        <w:rPr>
          <w:rFonts w:ascii="宋体" w:hAnsi="宋体"/>
          <w:sz w:val="24"/>
        </w:rPr>
      </w:pPr>
      <w:r>
        <w:rPr>
          <w:rFonts w:hint="eastAsia" w:ascii="宋体" w:hAnsi="宋体"/>
          <w:sz w:val="24"/>
        </w:rPr>
        <w:t>（2）供应商须知</w:t>
      </w:r>
    </w:p>
    <w:p w14:paraId="6002F17E">
      <w:pPr>
        <w:spacing w:line="360" w:lineRule="auto"/>
        <w:rPr>
          <w:rFonts w:ascii="宋体" w:hAnsi="宋体"/>
          <w:sz w:val="24"/>
        </w:rPr>
      </w:pPr>
      <w:r>
        <w:rPr>
          <w:rFonts w:hint="eastAsia" w:ascii="宋体" w:hAnsi="宋体"/>
          <w:sz w:val="24"/>
        </w:rPr>
        <w:t>（3）资格审查</w:t>
      </w:r>
    </w:p>
    <w:p w14:paraId="436B045D">
      <w:pPr>
        <w:spacing w:line="360" w:lineRule="auto"/>
        <w:rPr>
          <w:rFonts w:ascii="宋体" w:hAnsi="宋体"/>
          <w:sz w:val="24"/>
        </w:rPr>
      </w:pPr>
      <w:r>
        <w:rPr>
          <w:rFonts w:hint="eastAsia" w:ascii="宋体" w:hAnsi="宋体"/>
          <w:sz w:val="24"/>
        </w:rPr>
        <w:t>（4）评标程序、评标方法和评审标准</w:t>
      </w:r>
    </w:p>
    <w:p w14:paraId="409ECD1D">
      <w:pPr>
        <w:spacing w:line="360" w:lineRule="auto"/>
        <w:rPr>
          <w:rFonts w:ascii="宋体" w:hAnsi="宋体"/>
          <w:sz w:val="24"/>
        </w:rPr>
      </w:pPr>
      <w:r>
        <w:rPr>
          <w:rFonts w:hint="eastAsia" w:ascii="宋体" w:hAnsi="宋体"/>
          <w:sz w:val="24"/>
        </w:rPr>
        <w:t>（5）采购需求</w:t>
      </w:r>
    </w:p>
    <w:p w14:paraId="20D0450C">
      <w:pPr>
        <w:spacing w:line="360" w:lineRule="auto"/>
        <w:rPr>
          <w:rFonts w:ascii="宋体" w:hAnsi="宋体"/>
          <w:sz w:val="24"/>
        </w:rPr>
      </w:pPr>
      <w:r>
        <w:rPr>
          <w:rFonts w:hint="eastAsia" w:ascii="宋体" w:hAnsi="宋体"/>
          <w:sz w:val="24"/>
        </w:rPr>
        <w:t>（6）拟签订的合同文本</w:t>
      </w:r>
    </w:p>
    <w:p w14:paraId="74CD2D7C">
      <w:pPr>
        <w:spacing w:line="360" w:lineRule="auto"/>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）响应文件的组成及提交须知</w:t>
      </w:r>
    </w:p>
    <w:p w14:paraId="3E9DF2D4">
      <w:pPr>
        <w:spacing w:line="360" w:lineRule="auto"/>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）响应文件格式</w:t>
      </w:r>
    </w:p>
    <w:p w14:paraId="304E76CC">
      <w:pPr>
        <w:spacing w:line="360" w:lineRule="auto"/>
        <w:rPr>
          <w:rFonts w:ascii="宋体" w:hAnsi="宋体"/>
          <w:sz w:val="24"/>
          <w:szCs w:val="21"/>
        </w:rPr>
      </w:pPr>
      <w:r>
        <w:rPr>
          <w:rFonts w:hint="eastAsia" w:ascii="宋体" w:hAnsi="宋体"/>
          <w:sz w:val="24"/>
          <w:szCs w:val="21"/>
        </w:rPr>
        <w:t>请仔细检查磋商文件是否齐全，如有缺漏请立即与代理机构联系解决。</w:t>
      </w:r>
    </w:p>
    <w:p w14:paraId="04918251">
      <w:pPr>
        <w:spacing w:line="360" w:lineRule="auto"/>
        <w:rPr>
          <w:rFonts w:ascii="宋体" w:hAnsi="宋体"/>
          <w:sz w:val="24"/>
          <w:szCs w:val="21"/>
        </w:rPr>
      </w:pPr>
      <w:r>
        <w:rPr>
          <w:rFonts w:hint="eastAsia" w:ascii="宋体" w:hAnsi="宋体"/>
          <w:bCs/>
          <w:sz w:val="24"/>
          <w:szCs w:val="21"/>
        </w:rPr>
        <w:t>6.2</w:t>
      </w:r>
      <w:r>
        <w:rPr>
          <w:rFonts w:hint="eastAsia" w:ascii="宋体" w:hAnsi="宋体"/>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A023B8C">
      <w:pPr>
        <w:keepNext/>
        <w:keepLines/>
        <w:spacing w:line="360" w:lineRule="auto"/>
        <w:outlineLvl w:val="3"/>
        <w:rPr>
          <w:rFonts w:ascii="宋体" w:hAnsi="宋体" w:cs="Arial"/>
          <w:sz w:val="28"/>
          <w:szCs w:val="28"/>
        </w:rPr>
      </w:pPr>
      <w:bookmarkStart w:id="200" w:name="_Toc462564070"/>
      <w:bookmarkStart w:id="201" w:name="_Toc513029211"/>
      <w:bookmarkStart w:id="202" w:name="_Toc20823283"/>
      <w:bookmarkStart w:id="203" w:name="_Toc16938527"/>
      <w:r>
        <w:rPr>
          <w:rFonts w:hint="eastAsia" w:ascii="宋体" w:hAnsi="宋体" w:cs="Arial"/>
          <w:sz w:val="28"/>
          <w:szCs w:val="28"/>
        </w:rPr>
        <w:t>7、磋商文件的澄清</w:t>
      </w:r>
      <w:bookmarkEnd w:id="200"/>
      <w:bookmarkEnd w:id="201"/>
      <w:bookmarkEnd w:id="202"/>
      <w:bookmarkEnd w:id="203"/>
    </w:p>
    <w:p w14:paraId="6A1E3A04">
      <w:pPr>
        <w:spacing w:line="360" w:lineRule="auto"/>
        <w:rPr>
          <w:rFonts w:ascii="宋体" w:hAnsi="宋体"/>
          <w:sz w:val="24"/>
        </w:rPr>
      </w:pPr>
      <w:r>
        <w:rPr>
          <w:rFonts w:hint="eastAsia" w:ascii="宋体" w:hAnsi="宋体"/>
          <w:bCs/>
          <w:sz w:val="24"/>
          <w:szCs w:val="21"/>
        </w:rPr>
        <w:t>7.1</w:t>
      </w:r>
      <w:r>
        <w:rPr>
          <w:rFonts w:hint="eastAsia" w:ascii="宋体" w:hAnsi="宋体"/>
          <w:sz w:val="24"/>
          <w:szCs w:val="21"/>
        </w:rPr>
        <w:t xml:space="preserve"> 任何要求对磋商文件进行澄清的供应商，应按供应商须知资料表中要求通知代理机构。</w:t>
      </w:r>
    </w:p>
    <w:p w14:paraId="02A9E593">
      <w:pPr>
        <w:keepNext/>
        <w:keepLines/>
        <w:spacing w:line="360" w:lineRule="auto"/>
        <w:outlineLvl w:val="3"/>
        <w:rPr>
          <w:rFonts w:ascii="宋体" w:hAnsi="宋体" w:cs="Arial"/>
          <w:sz w:val="28"/>
          <w:szCs w:val="28"/>
        </w:rPr>
      </w:pPr>
      <w:bookmarkStart w:id="204" w:name="_Toc20823284"/>
      <w:bookmarkStart w:id="205" w:name="_Toc513029212"/>
      <w:bookmarkStart w:id="206" w:name="_Toc16938528"/>
      <w:bookmarkStart w:id="207" w:name="_Toc462564071"/>
      <w:r>
        <w:rPr>
          <w:rFonts w:hint="eastAsia" w:ascii="宋体" w:hAnsi="宋体" w:cs="Arial"/>
          <w:sz w:val="28"/>
          <w:szCs w:val="28"/>
        </w:rPr>
        <w:t>8、磋商文件的修改</w:t>
      </w:r>
      <w:bookmarkEnd w:id="204"/>
      <w:bookmarkEnd w:id="205"/>
      <w:bookmarkEnd w:id="206"/>
      <w:bookmarkEnd w:id="207"/>
    </w:p>
    <w:p w14:paraId="0ED05CEC">
      <w:pPr>
        <w:spacing w:line="360" w:lineRule="auto"/>
        <w:rPr>
          <w:rFonts w:ascii="宋体" w:hAnsi="宋体"/>
          <w:sz w:val="24"/>
          <w:szCs w:val="21"/>
        </w:rPr>
      </w:pPr>
      <w:r>
        <w:rPr>
          <w:rFonts w:hint="eastAsia" w:ascii="宋体" w:hAnsi="宋体"/>
          <w:bCs/>
          <w:sz w:val="24"/>
          <w:szCs w:val="21"/>
        </w:rPr>
        <w:t>8.1</w:t>
      </w:r>
      <w:r>
        <w:rPr>
          <w:rFonts w:hint="eastAsia" w:ascii="宋体" w:hAnsi="宋体"/>
          <w:sz w:val="24"/>
          <w:szCs w:val="21"/>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更正公告内容将作为磋商文件的组成部分，并对供应商具有约束力。不足5日的，代理机构将顺延提交首次响应文件截止时间。</w:t>
      </w:r>
    </w:p>
    <w:p w14:paraId="6114FC20">
      <w:pPr>
        <w:spacing w:line="360" w:lineRule="auto"/>
        <w:rPr>
          <w:rFonts w:ascii="宋体" w:hAnsi="宋体"/>
          <w:sz w:val="24"/>
          <w:szCs w:val="21"/>
        </w:rPr>
      </w:pPr>
      <w:r>
        <w:rPr>
          <w:rFonts w:hint="eastAsia" w:ascii="宋体" w:hAnsi="宋体"/>
          <w:sz w:val="24"/>
          <w:szCs w:val="21"/>
        </w:rPr>
        <w:t>8.2代理机构可以视采购项目的具体情况，组织供应商进行现场考察或召开磋商前答疑会，但不单独或分别组织只有一个供应商参加的现场考察和答疑会。</w:t>
      </w:r>
    </w:p>
    <w:p w14:paraId="28F724A4">
      <w:pPr>
        <w:keepNext/>
        <w:keepLines/>
        <w:spacing w:line="360" w:lineRule="auto"/>
        <w:outlineLvl w:val="2"/>
        <w:rPr>
          <w:rFonts w:ascii="宋体" w:hAnsi="宋体"/>
          <w:b/>
          <w:bCs/>
          <w:sz w:val="32"/>
          <w:szCs w:val="32"/>
        </w:rPr>
      </w:pPr>
      <w:bookmarkStart w:id="208" w:name="_Toc17615"/>
      <w:bookmarkStart w:id="209" w:name="_Toc513029213"/>
      <w:bookmarkStart w:id="210" w:name="_Toc160609033"/>
      <w:bookmarkStart w:id="211" w:name="_Toc20823285"/>
      <w:bookmarkStart w:id="212" w:name="_Toc152678545"/>
      <w:bookmarkStart w:id="213" w:name="_Toc120614216"/>
      <w:bookmarkStart w:id="214" w:name="_Toc462564072"/>
      <w:bookmarkStart w:id="215" w:name="_Toc11218"/>
      <w:bookmarkStart w:id="216" w:name="_Toc152678626"/>
      <w:bookmarkStart w:id="217" w:name="_Toc16938529"/>
      <w:r>
        <w:rPr>
          <w:rFonts w:hint="eastAsia" w:ascii="宋体" w:hAnsi="宋体"/>
          <w:b/>
          <w:bCs/>
          <w:sz w:val="32"/>
          <w:szCs w:val="32"/>
        </w:rPr>
        <w:t>三、响应文件的编制</w:t>
      </w:r>
      <w:bookmarkEnd w:id="208"/>
      <w:bookmarkEnd w:id="209"/>
      <w:bookmarkEnd w:id="210"/>
      <w:bookmarkEnd w:id="211"/>
      <w:bookmarkEnd w:id="212"/>
      <w:bookmarkEnd w:id="213"/>
      <w:bookmarkEnd w:id="214"/>
      <w:bookmarkEnd w:id="215"/>
      <w:bookmarkEnd w:id="216"/>
      <w:bookmarkEnd w:id="217"/>
    </w:p>
    <w:p w14:paraId="06F77594">
      <w:pPr>
        <w:keepNext/>
        <w:keepLines/>
        <w:spacing w:line="360" w:lineRule="auto"/>
        <w:outlineLvl w:val="3"/>
        <w:rPr>
          <w:rFonts w:ascii="宋体" w:hAnsi="宋体" w:cs="Arial"/>
          <w:b/>
          <w:sz w:val="28"/>
          <w:szCs w:val="28"/>
        </w:rPr>
      </w:pPr>
      <w:bookmarkStart w:id="218" w:name="_Toc513029214"/>
      <w:bookmarkStart w:id="219" w:name="_Toc462564073"/>
      <w:bookmarkStart w:id="220" w:name="_Toc20823286"/>
      <w:bookmarkStart w:id="221" w:name="_Toc16938530"/>
      <w:r>
        <w:rPr>
          <w:rFonts w:hint="eastAsia" w:ascii="宋体" w:hAnsi="宋体" w:cs="Arial"/>
          <w:sz w:val="28"/>
          <w:szCs w:val="28"/>
        </w:rPr>
        <w:t>9、响应文件的语言及度量衡单位</w:t>
      </w:r>
      <w:bookmarkEnd w:id="218"/>
      <w:bookmarkEnd w:id="219"/>
      <w:bookmarkEnd w:id="220"/>
      <w:bookmarkEnd w:id="221"/>
    </w:p>
    <w:p w14:paraId="308D8367">
      <w:pPr>
        <w:spacing w:line="360" w:lineRule="auto"/>
        <w:rPr>
          <w:rFonts w:ascii="宋体" w:hAnsi="宋体"/>
          <w:sz w:val="24"/>
          <w:szCs w:val="21"/>
        </w:rPr>
      </w:pPr>
      <w:r>
        <w:rPr>
          <w:rFonts w:hint="eastAsia" w:ascii="宋体" w:hAnsi="宋体"/>
          <w:bCs/>
          <w:sz w:val="24"/>
          <w:szCs w:val="21"/>
        </w:rPr>
        <w:t>9.1</w:t>
      </w:r>
      <w:r>
        <w:rPr>
          <w:rFonts w:hint="eastAsia" w:ascii="宋体" w:hAnsi="宋体"/>
          <w:sz w:val="24"/>
          <w:szCs w:val="21"/>
        </w:rPr>
        <w:t>供应商提交的响应文件以及供应商与代理机构就有关磋商的所有来往通知、函件和文件均应使用</w:t>
      </w:r>
      <w:r>
        <w:rPr>
          <w:rFonts w:hint="eastAsia" w:ascii="宋体" w:hAnsi="宋体"/>
          <w:b/>
          <w:bCs/>
          <w:sz w:val="24"/>
          <w:szCs w:val="21"/>
        </w:rPr>
        <w:t>简体中文</w:t>
      </w:r>
      <w:r>
        <w:rPr>
          <w:rFonts w:hint="eastAsia" w:ascii="宋体" w:hAnsi="宋体"/>
          <w:sz w:val="24"/>
          <w:szCs w:val="21"/>
        </w:rPr>
        <w:t>。</w:t>
      </w:r>
    </w:p>
    <w:p w14:paraId="5E03558F">
      <w:pPr>
        <w:spacing w:line="360" w:lineRule="auto"/>
        <w:rPr>
          <w:rFonts w:ascii="宋体" w:hAnsi="宋体"/>
          <w:sz w:val="24"/>
          <w:szCs w:val="21"/>
        </w:rPr>
      </w:pPr>
      <w:r>
        <w:rPr>
          <w:rFonts w:hint="eastAsia" w:ascii="宋体" w:hAnsi="宋体"/>
          <w:bCs/>
          <w:sz w:val="24"/>
          <w:szCs w:val="21"/>
        </w:rPr>
        <w:t>9.2</w:t>
      </w:r>
      <w:r>
        <w:rPr>
          <w:rFonts w:hint="eastAsia" w:ascii="宋体" w:hAnsi="宋体"/>
          <w:sz w:val="24"/>
          <w:szCs w:val="21"/>
        </w:rPr>
        <w:t xml:space="preserve"> 除技术性能另有规定外，响应文件所使用的度量衡单位，均须采用国家法定计量单位。</w:t>
      </w:r>
    </w:p>
    <w:p w14:paraId="32CABC10">
      <w:pPr>
        <w:keepNext/>
        <w:keepLines/>
        <w:spacing w:line="360" w:lineRule="auto"/>
        <w:outlineLvl w:val="3"/>
        <w:rPr>
          <w:rFonts w:ascii="宋体" w:hAnsi="宋体" w:cs="Arial"/>
          <w:sz w:val="28"/>
          <w:szCs w:val="28"/>
        </w:rPr>
      </w:pPr>
      <w:bookmarkStart w:id="222" w:name="_Toc513029215"/>
      <w:bookmarkStart w:id="223" w:name="_Toc462564074"/>
      <w:bookmarkStart w:id="224" w:name="_Toc20823287"/>
      <w:bookmarkStart w:id="225" w:name="_Toc16938531"/>
      <w:r>
        <w:rPr>
          <w:rFonts w:hint="eastAsia" w:ascii="宋体" w:hAnsi="宋体" w:cs="Arial"/>
          <w:sz w:val="28"/>
          <w:szCs w:val="28"/>
        </w:rPr>
        <w:t>10、响应文件构成</w:t>
      </w:r>
      <w:bookmarkEnd w:id="222"/>
      <w:bookmarkEnd w:id="223"/>
      <w:bookmarkEnd w:id="224"/>
      <w:bookmarkEnd w:id="225"/>
    </w:p>
    <w:p w14:paraId="1C2A9DCB">
      <w:pPr>
        <w:spacing w:line="360" w:lineRule="auto"/>
        <w:rPr>
          <w:rFonts w:ascii="宋体" w:hAnsi="宋体"/>
          <w:sz w:val="24"/>
          <w:szCs w:val="21"/>
        </w:rPr>
      </w:pPr>
      <w:r>
        <w:rPr>
          <w:rFonts w:hint="eastAsia" w:ascii="宋体" w:hAnsi="宋体"/>
          <w:bCs/>
          <w:sz w:val="24"/>
          <w:szCs w:val="21"/>
        </w:rPr>
        <w:t>10.1</w:t>
      </w:r>
      <w:r>
        <w:rPr>
          <w:rFonts w:hint="eastAsia" w:ascii="宋体" w:hAnsi="宋体"/>
          <w:sz w:val="24"/>
          <w:szCs w:val="21"/>
        </w:rPr>
        <w:t>供应商编写的响应文件应包括资格证明文件、符合性证明文件、报价明细表、技术偏离表、其他证明文件、磋商响应函等部分。</w:t>
      </w:r>
    </w:p>
    <w:p w14:paraId="17D5C2C3">
      <w:pPr>
        <w:spacing w:line="360" w:lineRule="auto"/>
        <w:rPr>
          <w:rFonts w:ascii="宋体" w:hAnsi="宋体"/>
          <w:sz w:val="24"/>
          <w:szCs w:val="21"/>
        </w:rPr>
      </w:pPr>
      <w:r>
        <w:rPr>
          <w:rFonts w:hint="eastAsia" w:ascii="宋体" w:hAnsi="宋体"/>
          <w:sz w:val="24"/>
          <w:szCs w:val="21"/>
        </w:rPr>
        <w:t>10.2 如标书制作工具中格式和内容与“江苏省政府采购网”、“常州市政府采购网”发布的磋商文件不一致，请以“江苏省政府采购网”、“常州市政府采购网”发布的磋商文件为准。</w:t>
      </w:r>
    </w:p>
    <w:p w14:paraId="62615393">
      <w:pPr>
        <w:keepNext/>
        <w:keepLines/>
        <w:spacing w:line="360" w:lineRule="auto"/>
        <w:outlineLvl w:val="3"/>
        <w:rPr>
          <w:rFonts w:ascii="宋体" w:hAnsi="宋体" w:cs="Arial"/>
          <w:sz w:val="28"/>
          <w:szCs w:val="28"/>
        </w:rPr>
      </w:pPr>
      <w:bookmarkStart w:id="226" w:name="_Hlt26954838"/>
      <w:bookmarkEnd w:id="226"/>
      <w:bookmarkStart w:id="227" w:name="_Hlt26668975"/>
      <w:bookmarkEnd w:id="227"/>
      <w:bookmarkStart w:id="228" w:name="_Hlt26670360"/>
      <w:bookmarkEnd w:id="228"/>
      <w:bookmarkStart w:id="229" w:name="_Toc14577357"/>
      <w:bookmarkStart w:id="230" w:name="_Toc513029219"/>
      <w:bookmarkStart w:id="231" w:name="_Toc14577354"/>
      <w:bookmarkStart w:id="232" w:name="_Toc49090509"/>
      <w:bookmarkStart w:id="233" w:name="_Toc513029216"/>
      <w:bookmarkStart w:id="234" w:name="_Toc49090507"/>
      <w:bookmarkStart w:id="235" w:name="_Toc49090508"/>
      <w:bookmarkStart w:id="236" w:name="_Toc14577355"/>
      <w:r>
        <w:rPr>
          <w:rFonts w:hint="eastAsia" w:ascii="宋体" w:hAnsi="宋体" w:cs="Arial"/>
          <w:sz w:val="28"/>
          <w:szCs w:val="28"/>
        </w:rPr>
        <w:t>11、证明磋商响应标的符合磋商文件规定的文件</w:t>
      </w:r>
      <w:bookmarkEnd w:id="229"/>
      <w:bookmarkEnd w:id="230"/>
      <w:bookmarkEnd w:id="231"/>
      <w:bookmarkEnd w:id="232"/>
      <w:bookmarkEnd w:id="233"/>
      <w:bookmarkEnd w:id="234"/>
    </w:p>
    <w:p w14:paraId="6B5C60AF">
      <w:pPr>
        <w:keepNext/>
        <w:keepLines/>
        <w:spacing w:line="360" w:lineRule="auto"/>
        <w:outlineLvl w:val="3"/>
        <w:rPr>
          <w:rFonts w:ascii="宋体" w:hAnsi="宋体" w:cs="Arial"/>
          <w:sz w:val="28"/>
          <w:szCs w:val="28"/>
        </w:rPr>
      </w:pPr>
      <w:r>
        <w:rPr>
          <w:rFonts w:hint="eastAsia" w:ascii="宋体" w:hAnsi="宋体"/>
          <w:sz w:val="24"/>
        </w:rPr>
        <w:t>11.1供应商应按照磋商文件要求提交证明文件，证明其及磋商响应标的符合磋商文件规定。</w:t>
      </w:r>
    </w:p>
    <w:p w14:paraId="4B243941">
      <w:pPr>
        <w:spacing w:line="360" w:lineRule="auto"/>
        <w:rPr>
          <w:rFonts w:ascii="宋体" w:hAnsi="宋体"/>
          <w:sz w:val="24"/>
        </w:rPr>
      </w:pPr>
      <w:r>
        <w:rPr>
          <w:rFonts w:hint="eastAsia" w:ascii="宋体" w:hAnsi="宋体"/>
          <w:sz w:val="24"/>
        </w:rPr>
        <w:t>11.2磋商文件对证明文件无明确形式要求的，证明文件可以以文字资料、图纸和数据等形式提交。</w:t>
      </w:r>
      <w:bookmarkEnd w:id="235"/>
      <w:bookmarkEnd w:id="236"/>
    </w:p>
    <w:p w14:paraId="34362B15">
      <w:pPr>
        <w:keepNext/>
        <w:keepLines/>
        <w:spacing w:line="360" w:lineRule="auto"/>
        <w:outlineLvl w:val="3"/>
        <w:rPr>
          <w:rFonts w:ascii="宋体" w:hAnsi="宋体" w:cs="Arial"/>
          <w:sz w:val="28"/>
          <w:szCs w:val="28"/>
        </w:rPr>
      </w:pPr>
      <w:r>
        <w:rPr>
          <w:rFonts w:hint="eastAsia" w:ascii="宋体" w:hAnsi="宋体" w:cs="Arial"/>
          <w:sz w:val="28"/>
          <w:szCs w:val="28"/>
        </w:rPr>
        <w:t>12、报价明细表</w:t>
      </w:r>
    </w:p>
    <w:p w14:paraId="41A3F7D8">
      <w:pPr>
        <w:spacing w:line="360" w:lineRule="auto"/>
        <w:rPr>
          <w:rFonts w:ascii="宋体" w:hAnsi="宋体"/>
          <w:bCs/>
          <w:sz w:val="24"/>
          <w:szCs w:val="21"/>
        </w:rPr>
      </w:pPr>
      <w:r>
        <w:rPr>
          <w:rFonts w:hint="eastAsia" w:ascii="宋体" w:hAnsi="宋体"/>
          <w:bCs/>
          <w:sz w:val="24"/>
          <w:szCs w:val="21"/>
        </w:rPr>
        <w:t>12.1</w:t>
      </w:r>
      <w:r>
        <w:rPr>
          <w:rFonts w:hint="eastAsia" w:ascii="宋体" w:hAnsi="宋体"/>
          <w:sz w:val="24"/>
          <w:szCs w:val="21"/>
        </w:rPr>
        <w:t>供应商应按照磋商文件规定格式填报报价明细表。</w:t>
      </w:r>
    </w:p>
    <w:p w14:paraId="0155D0B6">
      <w:pPr>
        <w:spacing w:line="360" w:lineRule="auto"/>
        <w:rPr>
          <w:rFonts w:ascii="宋体" w:hAnsi="宋体"/>
          <w:bCs/>
          <w:sz w:val="24"/>
          <w:szCs w:val="21"/>
        </w:rPr>
      </w:pPr>
      <w:r>
        <w:rPr>
          <w:rFonts w:hint="eastAsia" w:ascii="宋体" w:hAnsi="宋体"/>
          <w:sz w:val="24"/>
          <w:szCs w:val="21"/>
        </w:rPr>
        <w:t>12.2</w:t>
      </w:r>
      <w:r>
        <w:rPr>
          <w:rFonts w:hint="eastAsia" w:ascii="宋体" w:hAnsi="宋体"/>
          <w:bCs/>
          <w:sz w:val="24"/>
          <w:szCs w:val="21"/>
        </w:rPr>
        <w:t>磋商货币。响应文件中的单价和总价无特殊规定的采用人民币报价，以元为单位标注。</w:t>
      </w:r>
      <w:r>
        <w:rPr>
          <w:rFonts w:hint="eastAsia" w:ascii="宋体" w:hAnsi="宋体"/>
          <w:sz w:val="24"/>
          <w:szCs w:val="21"/>
        </w:rPr>
        <w:t>磋商文件中另有规定的按规定执行。</w:t>
      </w:r>
    </w:p>
    <w:p w14:paraId="40EC9214">
      <w:pPr>
        <w:keepNext/>
        <w:keepLines/>
        <w:spacing w:line="360" w:lineRule="auto"/>
        <w:outlineLvl w:val="3"/>
        <w:rPr>
          <w:rFonts w:ascii="宋体" w:hAnsi="宋体" w:cs="Arial"/>
          <w:sz w:val="28"/>
          <w:szCs w:val="28"/>
        </w:rPr>
      </w:pPr>
      <w:bookmarkStart w:id="237" w:name="_Hlt26954846"/>
      <w:bookmarkEnd w:id="237"/>
      <w:bookmarkStart w:id="238" w:name="_Hlt26954848"/>
      <w:bookmarkEnd w:id="238"/>
      <w:bookmarkStart w:id="239" w:name="_Hlt26670486"/>
      <w:bookmarkEnd w:id="239"/>
      <w:bookmarkStart w:id="240" w:name="_Hlt26954731"/>
      <w:bookmarkEnd w:id="240"/>
      <w:bookmarkStart w:id="241" w:name="_Hlt26670482"/>
      <w:bookmarkEnd w:id="241"/>
      <w:r>
        <w:rPr>
          <w:rFonts w:hint="eastAsia" w:ascii="宋体" w:hAnsi="宋体" w:cs="Arial"/>
          <w:sz w:val="28"/>
          <w:szCs w:val="28"/>
        </w:rPr>
        <w:t>13、技术要求响应及偏离表、商务要求响应及偏离表</w:t>
      </w:r>
    </w:p>
    <w:p w14:paraId="5392B49C">
      <w:pPr>
        <w:spacing w:line="360" w:lineRule="auto"/>
        <w:rPr>
          <w:rFonts w:ascii="宋体" w:hAnsi="宋体" w:cs="宋体"/>
          <w:sz w:val="24"/>
          <w:szCs w:val="21"/>
          <w:lang w:val="zh-CN"/>
        </w:rPr>
      </w:pPr>
      <w:r>
        <w:rPr>
          <w:rFonts w:ascii="宋体" w:hAnsi="宋体" w:cs="宋体"/>
          <w:bCs/>
          <w:sz w:val="24"/>
          <w:szCs w:val="21"/>
          <w:lang w:val="zh-CN"/>
        </w:rPr>
        <w:t>1</w:t>
      </w:r>
      <w:r>
        <w:rPr>
          <w:rFonts w:hint="eastAsia" w:ascii="宋体" w:hAnsi="宋体" w:cs="宋体"/>
          <w:bCs/>
          <w:sz w:val="24"/>
          <w:szCs w:val="21"/>
          <w:lang w:val="zh-CN"/>
        </w:rPr>
        <w:t>3</w:t>
      </w:r>
      <w:r>
        <w:rPr>
          <w:rFonts w:ascii="宋体" w:hAnsi="宋体" w:cs="宋体"/>
          <w:bCs/>
          <w:sz w:val="24"/>
          <w:szCs w:val="21"/>
          <w:lang w:val="zh-CN"/>
        </w:rPr>
        <w:t>.1</w:t>
      </w:r>
      <w:r>
        <w:rPr>
          <w:rFonts w:hint="eastAsia" w:ascii="宋体" w:hAnsi="宋体" w:cs="宋体"/>
          <w:sz w:val="24"/>
          <w:szCs w:val="21"/>
          <w:lang w:val="zh-CN"/>
        </w:rPr>
        <w:t>供应商需对磋商文件中的</w:t>
      </w:r>
      <w:r>
        <w:rPr>
          <w:rFonts w:hint="eastAsia" w:ascii="宋体" w:hAnsi="宋体" w:cs="宋体"/>
          <w:b/>
          <w:bCs/>
          <w:sz w:val="24"/>
          <w:szCs w:val="21"/>
          <w:lang w:val="zh-CN"/>
        </w:rPr>
        <w:t>技术要求</w:t>
      </w:r>
      <w:r>
        <w:rPr>
          <w:rFonts w:hint="eastAsia" w:ascii="宋体" w:hAnsi="宋体" w:cs="宋体"/>
          <w:sz w:val="24"/>
          <w:szCs w:val="21"/>
          <w:lang w:val="zh-CN"/>
        </w:rPr>
        <w:t>逐项作出响应或偏离，并说明原因。</w:t>
      </w:r>
    </w:p>
    <w:p w14:paraId="56BB262B">
      <w:pPr>
        <w:spacing w:line="360" w:lineRule="auto"/>
        <w:rPr>
          <w:rFonts w:ascii="宋体" w:hAnsi="宋体" w:cs="宋体"/>
          <w:sz w:val="24"/>
          <w:szCs w:val="21"/>
          <w:lang w:val="zh-CN"/>
        </w:rPr>
      </w:pPr>
      <w:r>
        <w:rPr>
          <w:rFonts w:hint="eastAsia" w:ascii="宋体" w:hAnsi="宋体" w:cs="宋体"/>
          <w:sz w:val="24"/>
          <w:szCs w:val="21"/>
          <w:lang w:val="zh-CN"/>
        </w:rPr>
        <w:t>13.2供应商可在响应文件中提供认为需要的其他技术文件或说明。</w:t>
      </w:r>
    </w:p>
    <w:p w14:paraId="1ABA4B3F">
      <w:pPr>
        <w:keepNext/>
        <w:keepLines/>
        <w:spacing w:line="360" w:lineRule="auto"/>
        <w:outlineLvl w:val="3"/>
        <w:rPr>
          <w:rFonts w:ascii="宋体" w:hAnsi="宋体" w:cs="Arial"/>
          <w:sz w:val="28"/>
          <w:szCs w:val="28"/>
        </w:rPr>
      </w:pPr>
      <w:r>
        <w:rPr>
          <w:rFonts w:hint="eastAsia" w:ascii="宋体" w:hAnsi="宋体" w:cs="Arial"/>
          <w:sz w:val="28"/>
          <w:szCs w:val="28"/>
        </w:rPr>
        <w:t>14、服务承诺、培训计划、人员安排及其他</w:t>
      </w:r>
    </w:p>
    <w:p w14:paraId="5EDC546D">
      <w:pPr>
        <w:spacing w:line="360" w:lineRule="auto"/>
        <w:rPr>
          <w:rFonts w:ascii="宋体" w:hAnsi="宋体"/>
          <w:sz w:val="24"/>
        </w:rPr>
      </w:pPr>
      <w:r>
        <w:rPr>
          <w:rFonts w:hint="eastAsia" w:ascii="宋体" w:hAnsi="宋体"/>
          <w:bCs/>
          <w:sz w:val="24"/>
        </w:rPr>
        <w:t>14.1</w:t>
      </w:r>
      <w:r>
        <w:rPr>
          <w:rFonts w:hint="eastAsia" w:ascii="宋体" w:hAnsi="宋体"/>
          <w:sz w:val="24"/>
        </w:rPr>
        <w:t>供应商需根据磋商文件要求提供有关售后服务的管理制度，售后服务机构的分布情况，售后服务人员的数量、素质、技术水平及售后服务的反应能力等。</w:t>
      </w:r>
    </w:p>
    <w:p w14:paraId="4E0F7BBD">
      <w:pPr>
        <w:spacing w:line="360" w:lineRule="auto"/>
        <w:rPr>
          <w:rFonts w:ascii="宋体" w:hAnsi="宋体"/>
          <w:sz w:val="24"/>
        </w:rPr>
      </w:pPr>
      <w:r>
        <w:rPr>
          <w:rFonts w:hint="eastAsia" w:ascii="宋体" w:hAnsi="宋体"/>
          <w:sz w:val="24"/>
        </w:rPr>
        <w:t>14.2供应商需根据磋商文件要求提供培训计划。</w:t>
      </w:r>
    </w:p>
    <w:p w14:paraId="20F6E440">
      <w:pPr>
        <w:spacing w:line="360" w:lineRule="auto"/>
        <w:rPr>
          <w:rFonts w:ascii="宋体" w:hAnsi="宋体"/>
          <w:sz w:val="24"/>
        </w:rPr>
      </w:pPr>
      <w:r>
        <w:rPr>
          <w:rFonts w:hint="eastAsia" w:ascii="宋体" w:hAnsi="宋体"/>
          <w:sz w:val="24"/>
        </w:rPr>
        <w:t>14.3供应商需根据磋商文件要求提供</w:t>
      </w:r>
      <w:r>
        <w:rPr>
          <w:rFonts w:hint="eastAsia" w:ascii="宋体" w:hAnsi="宋体" w:cs="宋体"/>
          <w:sz w:val="24"/>
          <w:szCs w:val="21"/>
          <w:lang w:val="zh-CN"/>
        </w:rPr>
        <w:t>磋商响应标的的主要组成部分、功能设计、实现思路及关键技术等。</w:t>
      </w:r>
    </w:p>
    <w:p w14:paraId="663E29D0">
      <w:pPr>
        <w:keepNext/>
        <w:keepLines/>
        <w:spacing w:line="360" w:lineRule="auto"/>
        <w:outlineLvl w:val="3"/>
        <w:rPr>
          <w:rFonts w:ascii="宋体" w:hAnsi="宋体" w:cs="Arial"/>
          <w:sz w:val="28"/>
          <w:szCs w:val="28"/>
        </w:rPr>
      </w:pPr>
      <w:bookmarkStart w:id="242" w:name="_Toc49090510"/>
      <w:bookmarkStart w:id="243" w:name="_Toc14577359"/>
      <w:r>
        <w:rPr>
          <w:rFonts w:hint="eastAsia" w:ascii="宋体" w:hAnsi="宋体" w:cs="Arial"/>
          <w:sz w:val="28"/>
          <w:szCs w:val="28"/>
        </w:rPr>
        <w:t>15、磋商响应函</w:t>
      </w:r>
    </w:p>
    <w:p w14:paraId="1FAEDE54">
      <w:pPr>
        <w:spacing w:line="360" w:lineRule="auto"/>
        <w:rPr>
          <w:rFonts w:ascii="宋体" w:hAnsi="宋体"/>
          <w:sz w:val="24"/>
          <w:szCs w:val="21"/>
        </w:rPr>
      </w:pPr>
      <w:r>
        <w:rPr>
          <w:rFonts w:hint="eastAsia" w:ascii="宋体" w:hAnsi="宋体"/>
          <w:bCs/>
          <w:sz w:val="24"/>
          <w:szCs w:val="21"/>
        </w:rPr>
        <w:t>15.1</w:t>
      </w:r>
      <w:r>
        <w:rPr>
          <w:rFonts w:hint="eastAsia" w:ascii="宋体" w:hAnsi="宋体"/>
          <w:sz w:val="24"/>
          <w:szCs w:val="21"/>
        </w:rPr>
        <w:t>供应商应按照磋商文件中提供的格式完整、正确填写磋商响应函。</w:t>
      </w:r>
    </w:p>
    <w:bookmarkEnd w:id="242"/>
    <w:bookmarkEnd w:id="243"/>
    <w:p w14:paraId="218C84D7">
      <w:pPr>
        <w:keepNext/>
        <w:keepLines/>
        <w:spacing w:line="360" w:lineRule="auto"/>
        <w:outlineLvl w:val="3"/>
        <w:rPr>
          <w:rFonts w:ascii="宋体" w:hAnsi="宋体" w:cs="Arial"/>
          <w:sz w:val="28"/>
          <w:szCs w:val="28"/>
        </w:rPr>
      </w:pPr>
      <w:bookmarkStart w:id="244" w:name="_Toc49090511"/>
      <w:bookmarkStart w:id="245" w:name="_Toc14577360"/>
      <w:r>
        <w:rPr>
          <w:rFonts w:hint="eastAsia" w:ascii="宋体" w:hAnsi="宋体" w:cs="Arial"/>
          <w:sz w:val="28"/>
          <w:szCs w:val="28"/>
        </w:rPr>
        <w:t>16、磋商有效期</w:t>
      </w:r>
      <w:bookmarkEnd w:id="244"/>
      <w:bookmarkEnd w:id="245"/>
    </w:p>
    <w:p w14:paraId="28011880">
      <w:pPr>
        <w:spacing w:line="360" w:lineRule="auto"/>
        <w:rPr>
          <w:rFonts w:ascii="宋体" w:hAnsi="宋体"/>
          <w:bCs/>
          <w:sz w:val="24"/>
          <w:szCs w:val="21"/>
        </w:rPr>
      </w:pPr>
      <w:r>
        <w:rPr>
          <w:rFonts w:hint="eastAsia" w:ascii="宋体" w:hAnsi="宋体"/>
          <w:bCs/>
          <w:sz w:val="24"/>
          <w:szCs w:val="21"/>
        </w:rPr>
        <w:t>16.1磋商有效期为</w:t>
      </w:r>
      <w:r>
        <w:rPr>
          <w:rFonts w:hint="eastAsia" w:ascii="宋体" w:hAnsi="宋体"/>
          <w:sz w:val="24"/>
          <w:szCs w:val="21"/>
        </w:rPr>
        <w:t>代理机构</w:t>
      </w:r>
      <w:r>
        <w:rPr>
          <w:rFonts w:hint="eastAsia" w:ascii="宋体" w:hAnsi="宋体"/>
          <w:bCs/>
          <w:sz w:val="24"/>
          <w:szCs w:val="21"/>
        </w:rPr>
        <w:t>规定的提交响应文件截止之日后</w:t>
      </w:r>
      <w:r>
        <w:rPr>
          <w:rFonts w:hint="eastAsia" w:ascii="宋体" w:hAnsi="宋体"/>
          <w:b/>
          <w:sz w:val="24"/>
          <w:szCs w:val="21"/>
          <w:u w:val="single"/>
        </w:rPr>
        <w:t>60天</w:t>
      </w:r>
      <w:r>
        <w:rPr>
          <w:rFonts w:hint="eastAsia" w:ascii="宋体" w:hAnsi="宋体"/>
          <w:bCs/>
          <w:sz w:val="24"/>
          <w:szCs w:val="21"/>
        </w:rPr>
        <w:t>。磋商有效期比规定短的将被视为非实质性响应磋商文件而予以拒绝。</w:t>
      </w:r>
    </w:p>
    <w:p w14:paraId="466DB9ED">
      <w:pPr>
        <w:keepNext/>
        <w:keepLines/>
        <w:spacing w:line="360" w:lineRule="auto"/>
        <w:outlineLvl w:val="3"/>
        <w:rPr>
          <w:rFonts w:ascii="宋体" w:hAnsi="宋体" w:cs="Arial"/>
          <w:sz w:val="28"/>
          <w:szCs w:val="28"/>
        </w:rPr>
      </w:pPr>
      <w:r>
        <w:rPr>
          <w:rFonts w:hint="eastAsia" w:ascii="宋体" w:hAnsi="宋体" w:cs="Arial"/>
          <w:sz w:val="28"/>
          <w:szCs w:val="28"/>
        </w:rPr>
        <w:t>1</w:t>
      </w:r>
      <w:r>
        <w:rPr>
          <w:rFonts w:ascii="宋体" w:hAnsi="宋体" w:cs="Arial"/>
          <w:sz w:val="28"/>
          <w:szCs w:val="28"/>
        </w:rPr>
        <w:t>7</w:t>
      </w:r>
      <w:r>
        <w:rPr>
          <w:rFonts w:hint="eastAsia" w:ascii="宋体" w:hAnsi="宋体" w:cs="Arial"/>
          <w:sz w:val="28"/>
          <w:szCs w:val="28"/>
        </w:rPr>
        <w:t>、磋商有效期的延长</w:t>
      </w:r>
    </w:p>
    <w:p w14:paraId="400DE221">
      <w:pPr>
        <w:spacing w:line="360" w:lineRule="auto"/>
        <w:rPr>
          <w:rFonts w:ascii="宋体" w:hAnsi="宋体"/>
          <w:bCs/>
          <w:sz w:val="24"/>
          <w:szCs w:val="21"/>
        </w:rPr>
      </w:pPr>
      <w:r>
        <w:rPr>
          <w:rFonts w:hint="eastAsia" w:ascii="宋体" w:hAnsi="宋体"/>
          <w:bCs/>
          <w:sz w:val="24"/>
          <w:szCs w:val="21"/>
        </w:rPr>
        <w:t>17.1在特殊情况下，代理机构于原磋商有效期满之前，可向供应商提出延长磋商有效期的要求。这种要求与答复均应采用书面形式。供应商可以拒绝</w:t>
      </w:r>
      <w:r>
        <w:rPr>
          <w:rFonts w:hint="eastAsia" w:ascii="宋体" w:hAnsi="宋体"/>
          <w:sz w:val="24"/>
          <w:szCs w:val="21"/>
        </w:rPr>
        <w:t>代理机构</w:t>
      </w:r>
      <w:r>
        <w:rPr>
          <w:rFonts w:hint="eastAsia" w:ascii="宋体" w:hAnsi="宋体"/>
          <w:bCs/>
          <w:sz w:val="24"/>
          <w:szCs w:val="21"/>
        </w:rPr>
        <w:t>的这一要求而放弃磋商，同意延长磋商有效期的供应商既不能要求也不允许修改其响应文件。</w:t>
      </w:r>
      <w:r>
        <w:rPr>
          <w:rFonts w:hint="eastAsia" w:ascii="宋体" w:hAnsi="宋体"/>
          <w:sz w:val="24"/>
        </w:rPr>
        <w:t>受磋商有效期约束的所有权利与义务均延长至新的有效期</w:t>
      </w:r>
      <w:r>
        <w:rPr>
          <w:rFonts w:hint="eastAsia" w:ascii="宋体" w:hAnsi="宋体"/>
          <w:bCs/>
          <w:sz w:val="24"/>
          <w:szCs w:val="21"/>
        </w:rPr>
        <w:t>。</w:t>
      </w:r>
    </w:p>
    <w:p w14:paraId="6DE1ACBB">
      <w:pPr>
        <w:keepNext/>
        <w:keepLines/>
        <w:spacing w:line="360" w:lineRule="auto"/>
        <w:outlineLvl w:val="2"/>
        <w:rPr>
          <w:rFonts w:ascii="宋体" w:hAnsi="宋体"/>
          <w:b/>
          <w:bCs/>
          <w:sz w:val="32"/>
          <w:szCs w:val="32"/>
        </w:rPr>
      </w:pPr>
      <w:bookmarkStart w:id="246" w:name="_Hlt26954739"/>
      <w:bookmarkEnd w:id="246"/>
      <w:bookmarkStart w:id="247" w:name="_Hlt26954852"/>
      <w:bookmarkEnd w:id="247"/>
      <w:bookmarkStart w:id="248" w:name="_Toc19543"/>
      <w:bookmarkStart w:id="249" w:name="_Toc20823296"/>
      <w:bookmarkStart w:id="250" w:name="_Toc152678627"/>
      <w:bookmarkStart w:id="251" w:name="_Toc152678546"/>
      <w:bookmarkStart w:id="252" w:name="_Toc160609034"/>
      <w:bookmarkStart w:id="253" w:name="_Toc22445"/>
      <w:bookmarkStart w:id="254" w:name="_Toc513029224"/>
      <w:bookmarkStart w:id="255" w:name="_Toc16938540"/>
      <w:bookmarkStart w:id="256" w:name="_Toc120614217"/>
      <w:r>
        <w:rPr>
          <w:rFonts w:hint="eastAsia" w:ascii="宋体" w:hAnsi="宋体"/>
          <w:b/>
          <w:bCs/>
          <w:sz w:val="32"/>
          <w:szCs w:val="32"/>
        </w:rPr>
        <w:t>四、响应文件的递交</w:t>
      </w:r>
      <w:bookmarkEnd w:id="248"/>
      <w:bookmarkEnd w:id="249"/>
      <w:bookmarkEnd w:id="250"/>
      <w:bookmarkEnd w:id="251"/>
      <w:bookmarkEnd w:id="252"/>
      <w:bookmarkEnd w:id="253"/>
      <w:bookmarkEnd w:id="254"/>
      <w:bookmarkEnd w:id="255"/>
      <w:bookmarkEnd w:id="256"/>
    </w:p>
    <w:p w14:paraId="5FC20D14">
      <w:pPr>
        <w:keepNext/>
        <w:keepLines/>
        <w:spacing w:line="360" w:lineRule="auto"/>
        <w:outlineLvl w:val="3"/>
        <w:rPr>
          <w:rFonts w:ascii="宋体" w:hAnsi="宋体" w:cs="Arial"/>
          <w:sz w:val="28"/>
          <w:szCs w:val="28"/>
        </w:rPr>
      </w:pPr>
      <w:bookmarkStart w:id="257" w:name="_Toc16938541"/>
      <w:bookmarkStart w:id="258" w:name="_Toc513029225"/>
      <w:bookmarkStart w:id="259" w:name="_Toc462564084"/>
      <w:bookmarkStart w:id="260" w:name="_Toc20823297"/>
      <w:r>
        <w:rPr>
          <w:rFonts w:hint="eastAsia" w:ascii="宋体" w:hAnsi="宋体" w:cs="Arial"/>
          <w:sz w:val="28"/>
          <w:szCs w:val="28"/>
        </w:rPr>
        <w:t>1</w:t>
      </w:r>
      <w:r>
        <w:rPr>
          <w:rFonts w:ascii="宋体" w:hAnsi="宋体" w:cs="Arial"/>
          <w:sz w:val="28"/>
          <w:szCs w:val="28"/>
        </w:rPr>
        <w:t>8</w:t>
      </w:r>
      <w:r>
        <w:rPr>
          <w:rFonts w:hint="eastAsia" w:ascii="宋体" w:hAnsi="宋体" w:cs="Arial"/>
          <w:sz w:val="28"/>
          <w:szCs w:val="28"/>
        </w:rPr>
        <w:t>、电子磋商</w:t>
      </w:r>
      <w:bookmarkEnd w:id="257"/>
      <w:bookmarkEnd w:id="258"/>
      <w:bookmarkEnd w:id="259"/>
      <w:bookmarkEnd w:id="260"/>
      <w:r>
        <w:rPr>
          <w:rFonts w:hint="eastAsia" w:ascii="宋体" w:hAnsi="宋体" w:cs="Arial"/>
          <w:sz w:val="28"/>
          <w:szCs w:val="28"/>
        </w:rPr>
        <w:t>响应文件的递交</w:t>
      </w:r>
    </w:p>
    <w:p w14:paraId="628972F2">
      <w:pPr>
        <w:spacing w:line="360" w:lineRule="auto"/>
        <w:rPr>
          <w:rFonts w:ascii="宋体" w:hAnsi="宋体"/>
          <w:bCs/>
          <w:sz w:val="24"/>
          <w:szCs w:val="21"/>
        </w:rPr>
      </w:pPr>
      <w:r>
        <w:rPr>
          <w:rFonts w:hint="eastAsia" w:ascii="宋体" w:hAnsi="宋体"/>
          <w:bCs/>
          <w:sz w:val="24"/>
          <w:szCs w:val="21"/>
        </w:rPr>
        <w:t>18.1供应商应当按照《操作手册》规定，在提交响应文件截止时间前</w:t>
      </w:r>
      <w:r>
        <w:rPr>
          <w:rFonts w:ascii="宋体" w:hAnsi="宋体"/>
          <w:bCs/>
          <w:sz w:val="24"/>
          <w:szCs w:val="21"/>
        </w:rPr>
        <w:t>制作</w:t>
      </w:r>
      <w:r>
        <w:rPr>
          <w:rFonts w:hint="eastAsia" w:ascii="宋体" w:hAnsi="宋体"/>
          <w:bCs/>
          <w:sz w:val="24"/>
          <w:szCs w:val="21"/>
        </w:rPr>
        <w:t>并上传电子响应文件。</w:t>
      </w:r>
      <w:bookmarkStart w:id="261" w:name="_Toc513029226"/>
      <w:bookmarkStart w:id="262" w:name="_Toc20823298"/>
      <w:bookmarkStart w:id="263" w:name="_Toc16938542"/>
    </w:p>
    <w:p w14:paraId="22DE5708">
      <w:pPr>
        <w:keepNext/>
        <w:keepLines/>
        <w:spacing w:line="360" w:lineRule="auto"/>
        <w:outlineLvl w:val="3"/>
        <w:rPr>
          <w:rFonts w:ascii="宋体" w:hAnsi="宋体" w:cs="Arial"/>
          <w:bCs/>
          <w:sz w:val="24"/>
          <w:szCs w:val="28"/>
        </w:rPr>
      </w:pPr>
      <w:r>
        <w:rPr>
          <w:rFonts w:ascii="宋体" w:hAnsi="宋体" w:cs="Arial"/>
          <w:bCs/>
          <w:sz w:val="28"/>
          <w:szCs w:val="28"/>
        </w:rPr>
        <w:t>19</w:t>
      </w:r>
      <w:r>
        <w:rPr>
          <w:rFonts w:hint="eastAsia" w:ascii="宋体" w:hAnsi="宋体" w:cs="Arial"/>
          <w:bCs/>
          <w:sz w:val="28"/>
          <w:szCs w:val="28"/>
        </w:rPr>
        <w:t>、提交响应文件截止时间</w:t>
      </w:r>
      <w:bookmarkEnd w:id="261"/>
      <w:bookmarkEnd w:id="262"/>
      <w:bookmarkEnd w:id="263"/>
    </w:p>
    <w:p w14:paraId="51EC566C">
      <w:pPr>
        <w:spacing w:line="360" w:lineRule="auto"/>
        <w:rPr>
          <w:rFonts w:ascii="宋体" w:hAnsi="宋体"/>
          <w:bCs/>
          <w:iCs/>
          <w:sz w:val="24"/>
          <w:szCs w:val="21"/>
        </w:rPr>
      </w:pPr>
      <w:r>
        <w:rPr>
          <w:rFonts w:ascii="宋体" w:hAnsi="宋体"/>
          <w:iCs/>
          <w:sz w:val="24"/>
          <w:szCs w:val="21"/>
        </w:rPr>
        <w:t>19</w:t>
      </w:r>
      <w:r>
        <w:rPr>
          <w:rFonts w:hint="eastAsia" w:ascii="宋体" w:hAnsi="宋体"/>
          <w:iCs/>
          <w:sz w:val="24"/>
          <w:szCs w:val="21"/>
        </w:rPr>
        <w:t>.1</w:t>
      </w:r>
      <w:r>
        <w:rPr>
          <w:rFonts w:hint="eastAsia" w:ascii="宋体" w:hAnsi="宋体"/>
          <w:bCs/>
          <w:iCs/>
          <w:sz w:val="24"/>
          <w:szCs w:val="21"/>
        </w:rPr>
        <w:t>供应商上传电子响应文件的时间不得迟于磋商公告中规定的提交响应文件截止时间。</w:t>
      </w:r>
      <w:r>
        <w:rPr>
          <w:rFonts w:hint="eastAsia" w:ascii="宋体" w:hAnsi="宋体"/>
          <w:bCs/>
          <w:sz w:val="24"/>
          <w:szCs w:val="21"/>
        </w:rPr>
        <w:t>供应商应充分考虑到网络环境、网络带宽等风险因素，如因供应商自身原因造成的电子响应文件上传不成功的按照本磋商文件第二章第26.3.2条规定做无效响应处理。</w:t>
      </w:r>
    </w:p>
    <w:p w14:paraId="1B455174">
      <w:pPr>
        <w:spacing w:line="360" w:lineRule="auto"/>
        <w:rPr>
          <w:rFonts w:ascii="宋体" w:hAnsi="宋体"/>
          <w:bCs/>
          <w:sz w:val="24"/>
          <w:szCs w:val="21"/>
        </w:rPr>
      </w:pPr>
      <w:r>
        <w:rPr>
          <w:rFonts w:ascii="宋体" w:hAnsi="宋体"/>
          <w:sz w:val="24"/>
          <w:szCs w:val="21"/>
        </w:rPr>
        <w:t>19</w:t>
      </w:r>
      <w:r>
        <w:rPr>
          <w:rFonts w:hint="eastAsia" w:ascii="宋体" w:hAnsi="宋体"/>
          <w:sz w:val="24"/>
          <w:szCs w:val="21"/>
        </w:rPr>
        <w:t>.2</w:t>
      </w:r>
      <w:r>
        <w:rPr>
          <w:rFonts w:hint="eastAsia" w:ascii="宋体" w:hAnsi="宋体"/>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p>
    <w:p w14:paraId="2E6F18E1">
      <w:pPr>
        <w:keepNext/>
        <w:keepLines/>
        <w:spacing w:line="360" w:lineRule="auto"/>
        <w:outlineLvl w:val="3"/>
        <w:rPr>
          <w:rFonts w:ascii="宋体" w:hAnsi="宋体" w:cs="Arial"/>
          <w:sz w:val="28"/>
          <w:szCs w:val="28"/>
        </w:rPr>
      </w:pPr>
      <w:bookmarkStart w:id="264" w:name="_Toc20823299"/>
      <w:bookmarkStart w:id="265" w:name="_Toc16938543"/>
      <w:bookmarkStart w:id="266" w:name="_Toc513029227"/>
      <w:r>
        <w:rPr>
          <w:rFonts w:hint="eastAsia" w:ascii="宋体" w:hAnsi="宋体" w:cs="Arial"/>
          <w:sz w:val="28"/>
          <w:szCs w:val="28"/>
        </w:rPr>
        <w:t>2</w:t>
      </w:r>
      <w:r>
        <w:rPr>
          <w:rFonts w:ascii="宋体" w:hAnsi="宋体" w:cs="Arial"/>
          <w:sz w:val="28"/>
          <w:szCs w:val="28"/>
        </w:rPr>
        <w:t>0</w:t>
      </w:r>
      <w:r>
        <w:rPr>
          <w:rFonts w:hint="eastAsia" w:ascii="宋体" w:hAnsi="宋体" w:cs="Arial"/>
          <w:sz w:val="28"/>
          <w:szCs w:val="28"/>
        </w:rPr>
        <w:t>、响应文件</w:t>
      </w:r>
      <w:bookmarkEnd w:id="264"/>
      <w:bookmarkEnd w:id="265"/>
      <w:bookmarkEnd w:id="266"/>
      <w:r>
        <w:rPr>
          <w:rFonts w:hint="eastAsia" w:ascii="宋体" w:hAnsi="宋体" w:cs="Arial"/>
          <w:sz w:val="28"/>
          <w:szCs w:val="28"/>
        </w:rPr>
        <w:t>的拒收</w:t>
      </w:r>
    </w:p>
    <w:p w14:paraId="494CCFF5">
      <w:pPr>
        <w:spacing w:line="360" w:lineRule="auto"/>
        <w:rPr>
          <w:rFonts w:ascii="宋体" w:hAnsi="宋体"/>
          <w:bCs/>
          <w:sz w:val="24"/>
          <w:szCs w:val="21"/>
        </w:rPr>
      </w:pPr>
      <w:r>
        <w:rPr>
          <w:rFonts w:hint="eastAsia" w:ascii="宋体" w:hAnsi="宋体"/>
          <w:bCs/>
          <w:sz w:val="24"/>
          <w:szCs w:val="21"/>
        </w:rPr>
        <w:t>20.1 代理机构拒绝接收在其规定的提交响应文件截止时间后上传的任何电子响应文件。</w:t>
      </w:r>
    </w:p>
    <w:p w14:paraId="12934ED2">
      <w:pPr>
        <w:keepNext/>
        <w:keepLines/>
        <w:spacing w:line="360" w:lineRule="auto"/>
        <w:outlineLvl w:val="3"/>
        <w:rPr>
          <w:rFonts w:ascii="宋体" w:hAnsi="宋体" w:cs="Arial"/>
          <w:sz w:val="28"/>
          <w:szCs w:val="28"/>
        </w:rPr>
      </w:pPr>
      <w:bookmarkStart w:id="267" w:name="_Toc513029228"/>
      <w:bookmarkStart w:id="268" w:name="_Toc20823300"/>
      <w:bookmarkStart w:id="269" w:name="_Toc16938544"/>
      <w:r>
        <w:rPr>
          <w:rFonts w:hint="eastAsia" w:ascii="宋体" w:hAnsi="宋体" w:cs="Arial"/>
          <w:sz w:val="28"/>
          <w:szCs w:val="28"/>
        </w:rPr>
        <w:t>2</w:t>
      </w:r>
      <w:r>
        <w:rPr>
          <w:rFonts w:ascii="宋体" w:hAnsi="宋体" w:cs="Arial"/>
          <w:sz w:val="28"/>
          <w:szCs w:val="28"/>
        </w:rPr>
        <w:t>1</w:t>
      </w:r>
      <w:r>
        <w:rPr>
          <w:rFonts w:hint="eastAsia" w:ascii="宋体" w:hAnsi="宋体" w:cs="Arial"/>
          <w:sz w:val="28"/>
          <w:szCs w:val="28"/>
        </w:rPr>
        <w:t>、响应文件的撤回和修改</w:t>
      </w:r>
      <w:bookmarkEnd w:id="267"/>
      <w:bookmarkEnd w:id="268"/>
      <w:bookmarkEnd w:id="269"/>
    </w:p>
    <w:p w14:paraId="2A8D7FE7">
      <w:pPr>
        <w:spacing w:line="360" w:lineRule="auto"/>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.1响应文件的撤回</w:t>
      </w:r>
    </w:p>
    <w:p w14:paraId="1B3FFDAE">
      <w:pPr>
        <w:spacing w:line="360" w:lineRule="auto"/>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.1.1 电子响应文件的撤回</w:t>
      </w:r>
    </w:p>
    <w:p w14:paraId="286D22F8">
      <w:pPr>
        <w:spacing w:line="360" w:lineRule="auto"/>
        <w:rPr>
          <w:rFonts w:ascii="宋体" w:hAnsi="宋体"/>
          <w:sz w:val="24"/>
          <w:szCs w:val="21"/>
        </w:rPr>
      </w:pPr>
      <w:r>
        <w:rPr>
          <w:rFonts w:hint="eastAsia" w:ascii="宋体" w:hAnsi="宋体"/>
          <w:sz w:val="24"/>
          <w:szCs w:val="21"/>
        </w:rPr>
        <w:t>供应商可在</w:t>
      </w:r>
      <w:r>
        <w:rPr>
          <w:rFonts w:hint="eastAsia" w:ascii="宋体" w:hAnsi="宋体"/>
          <w:bCs/>
          <w:sz w:val="24"/>
          <w:szCs w:val="21"/>
        </w:rPr>
        <w:t>提交响应文件</w:t>
      </w:r>
      <w:r>
        <w:rPr>
          <w:rFonts w:hint="eastAsia" w:ascii="宋体" w:hAnsi="宋体"/>
          <w:sz w:val="24"/>
          <w:szCs w:val="21"/>
        </w:rPr>
        <w:t>截止时间前，撤回其电子响应文件，具体操作方法见《操作手册》。</w:t>
      </w:r>
    </w:p>
    <w:p w14:paraId="5756C2ED">
      <w:pPr>
        <w:spacing w:line="360" w:lineRule="auto"/>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.1.</w:t>
      </w:r>
      <w:r>
        <w:rPr>
          <w:rFonts w:ascii="宋体" w:hAnsi="宋体"/>
          <w:sz w:val="24"/>
        </w:rPr>
        <w:t>2</w:t>
      </w:r>
      <w:r>
        <w:rPr>
          <w:rFonts w:hint="eastAsia" w:ascii="宋体" w:hAnsi="宋体"/>
          <w:sz w:val="24"/>
        </w:rPr>
        <w:t>供应商撤回电子响应文件，则认为其不再参与本项目磋商活动。</w:t>
      </w:r>
    </w:p>
    <w:p w14:paraId="7EE726FA">
      <w:pPr>
        <w:spacing w:line="360" w:lineRule="auto"/>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.2响应文件的修改</w:t>
      </w:r>
    </w:p>
    <w:p w14:paraId="52FB066B">
      <w:pPr>
        <w:spacing w:line="360" w:lineRule="auto"/>
        <w:rPr>
          <w:rFonts w:ascii="宋体" w:hAnsi="宋体"/>
          <w:sz w:val="24"/>
          <w:szCs w:val="21"/>
        </w:rPr>
      </w:pPr>
      <w:r>
        <w:rPr>
          <w:rFonts w:hint="eastAsia" w:ascii="宋体" w:hAnsi="宋体"/>
          <w:sz w:val="24"/>
          <w:szCs w:val="21"/>
        </w:rPr>
        <w:t>供应商可在</w:t>
      </w:r>
      <w:r>
        <w:rPr>
          <w:rFonts w:hint="eastAsia" w:ascii="宋体" w:hAnsi="宋体"/>
          <w:bCs/>
          <w:sz w:val="24"/>
          <w:szCs w:val="21"/>
        </w:rPr>
        <w:t>提交响应文件</w:t>
      </w:r>
      <w:r>
        <w:rPr>
          <w:rFonts w:hint="eastAsia" w:ascii="宋体" w:hAnsi="宋体"/>
          <w:sz w:val="24"/>
          <w:szCs w:val="21"/>
        </w:rPr>
        <w:t>截止时间前，对其电子响应文件进行修改，具体操作方法见《操作手册》。</w:t>
      </w:r>
    </w:p>
    <w:p w14:paraId="1DCEDFE5">
      <w:pPr>
        <w:spacing w:line="360" w:lineRule="auto"/>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.3</w:t>
      </w:r>
      <w:r>
        <w:rPr>
          <w:rFonts w:hint="eastAsia" w:ascii="宋体" w:hAnsi="宋体"/>
          <w:bCs/>
          <w:sz w:val="24"/>
          <w:szCs w:val="21"/>
        </w:rPr>
        <w:t xml:space="preserve"> 在提交响应文件截止时间之后，供应商不得对其电子响应文件作任何修改。</w:t>
      </w:r>
    </w:p>
    <w:p w14:paraId="540E8DEB">
      <w:pPr>
        <w:spacing w:line="360" w:lineRule="auto"/>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.4</w:t>
      </w:r>
      <w:r>
        <w:rPr>
          <w:rFonts w:hint="eastAsia" w:ascii="宋体" w:hAnsi="宋体"/>
          <w:bCs/>
          <w:sz w:val="24"/>
          <w:szCs w:val="21"/>
        </w:rPr>
        <w:t xml:space="preserve"> 在提交响应文件截止时间至磋商文件中规定的磋商有效期满之间的这段时间内，供应商不得撤回其响应文件。</w:t>
      </w:r>
    </w:p>
    <w:p w14:paraId="26523F34">
      <w:pPr>
        <w:keepNext/>
        <w:keepLines/>
        <w:spacing w:line="360" w:lineRule="auto"/>
        <w:outlineLvl w:val="2"/>
        <w:rPr>
          <w:rFonts w:ascii="宋体" w:hAnsi="宋体"/>
          <w:b/>
          <w:bCs/>
          <w:sz w:val="32"/>
          <w:szCs w:val="32"/>
        </w:rPr>
      </w:pPr>
      <w:bookmarkStart w:id="270" w:name="_Toc7928"/>
      <w:bookmarkStart w:id="271" w:name="_Toc120614218"/>
      <w:bookmarkStart w:id="272" w:name="_Toc11440"/>
      <w:bookmarkStart w:id="273" w:name="_Toc160609035"/>
      <w:bookmarkStart w:id="274" w:name="_Toc16938545"/>
      <w:bookmarkStart w:id="275" w:name="_Toc20823301"/>
      <w:bookmarkStart w:id="276" w:name="_Toc513029229"/>
      <w:bookmarkStart w:id="277" w:name="_Toc152678628"/>
      <w:bookmarkStart w:id="278" w:name="_Toc152678547"/>
      <w:r>
        <w:rPr>
          <w:rFonts w:hint="eastAsia" w:ascii="宋体" w:hAnsi="宋体"/>
          <w:b/>
          <w:bCs/>
          <w:sz w:val="32"/>
          <w:szCs w:val="32"/>
        </w:rPr>
        <w:t>五、响应文件的解密与评审</w:t>
      </w:r>
      <w:bookmarkEnd w:id="270"/>
      <w:bookmarkEnd w:id="271"/>
      <w:bookmarkEnd w:id="272"/>
      <w:bookmarkEnd w:id="273"/>
      <w:bookmarkEnd w:id="274"/>
      <w:bookmarkEnd w:id="275"/>
      <w:bookmarkEnd w:id="276"/>
      <w:bookmarkEnd w:id="277"/>
      <w:bookmarkEnd w:id="278"/>
    </w:p>
    <w:p w14:paraId="6D4B175F">
      <w:pPr>
        <w:keepNext/>
        <w:keepLines/>
        <w:spacing w:line="360" w:lineRule="auto"/>
        <w:outlineLvl w:val="3"/>
        <w:rPr>
          <w:rFonts w:ascii="宋体" w:hAnsi="宋体" w:cs="Arial"/>
          <w:sz w:val="28"/>
          <w:szCs w:val="28"/>
        </w:rPr>
      </w:pPr>
      <w:bookmarkStart w:id="279" w:name="_Toc513029230"/>
      <w:bookmarkStart w:id="280" w:name="_Toc16938546"/>
      <w:bookmarkStart w:id="281" w:name="_Toc20823302"/>
      <w:r>
        <w:rPr>
          <w:rFonts w:hint="eastAsia" w:ascii="宋体" w:hAnsi="宋体" w:cs="Arial"/>
          <w:sz w:val="28"/>
          <w:szCs w:val="28"/>
        </w:rPr>
        <w:t>22、</w:t>
      </w:r>
      <w:bookmarkEnd w:id="279"/>
      <w:bookmarkEnd w:id="280"/>
      <w:bookmarkEnd w:id="281"/>
      <w:r>
        <w:rPr>
          <w:rFonts w:hint="eastAsia" w:ascii="宋体" w:hAnsi="宋体" w:cs="Arial"/>
          <w:sz w:val="28"/>
          <w:szCs w:val="28"/>
        </w:rPr>
        <w:t>响应文件解密</w:t>
      </w:r>
    </w:p>
    <w:p w14:paraId="74FBE1D0">
      <w:pPr>
        <w:spacing w:line="360" w:lineRule="auto"/>
        <w:rPr>
          <w:rFonts w:ascii="宋体" w:hAnsi="宋体"/>
          <w:szCs w:val="21"/>
        </w:rPr>
      </w:pPr>
      <w:r>
        <w:rPr>
          <w:rFonts w:hint="eastAsia" w:ascii="宋体" w:hAnsi="宋体"/>
          <w:sz w:val="24"/>
          <w:szCs w:val="21"/>
        </w:rPr>
        <w:t>2</w:t>
      </w:r>
      <w:r>
        <w:rPr>
          <w:rFonts w:ascii="宋体" w:hAnsi="宋体"/>
          <w:sz w:val="24"/>
          <w:szCs w:val="21"/>
        </w:rPr>
        <w:t>2</w:t>
      </w:r>
      <w:r>
        <w:rPr>
          <w:rFonts w:hint="eastAsia" w:ascii="宋体" w:hAnsi="宋体"/>
          <w:sz w:val="24"/>
          <w:szCs w:val="21"/>
        </w:rPr>
        <w:t>.1</w:t>
      </w:r>
      <w:r>
        <w:rPr>
          <w:rFonts w:hint="eastAsia" w:ascii="宋体" w:hAnsi="宋体"/>
          <w:sz w:val="24"/>
        </w:rPr>
        <w:t>供应商应当按照《操作手册》规定，在苏采云系统规定的时间内对磋商响应文件进行解密。</w:t>
      </w:r>
    </w:p>
    <w:p w14:paraId="063A517C">
      <w:pPr>
        <w:keepNext/>
        <w:keepLines/>
        <w:spacing w:line="360" w:lineRule="auto"/>
        <w:outlineLvl w:val="3"/>
        <w:rPr>
          <w:rFonts w:ascii="宋体" w:hAnsi="宋体" w:cs="Arial"/>
          <w:sz w:val="28"/>
          <w:szCs w:val="28"/>
        </w:rPr>
      </w:pPr>
      <w:bookmarkStart w:id="282" w:name="_Toc20823303"/>
      <w:bookmarkStart w:id="283" w:name="_Toc513029231"/>
      <w:bookmarkStart w:id="284" w:name="_Toc16938547"/>
      <w:r>
        <w:rPr>
          <w:rFonts w:hint="eastAsia" w:ascii="宋体" w:hAnsi="宋体" w:cs="Arial"/>
          <w:sz w:val="28"/>
          <w:szCs w:val="28"/>
        </w:rPr>
        <w:t>2</w:t>
      </w:r>
      <w:r>
        <w:rPr>
          <w:rFonts w:ascii="宋体" w:hAnsi="宋体" w:cs="Arial"/>
          <w:sz w:val="28"/>
          <w:szCs w:val="28"/>
        </w:rPr>
        <w:t>3</w:t>
      </w:r>
      <w:r>
        <w:rPr>
          <w:rFonts w:hint="eastAsia" w:ascii="宋体" w:hAnsi="宋体" w:cs="Arial"/>
          <w:sz w:val="28"/>
          <w:szCs w:val="28"/>
        </w:rPr>
        <w:t>、磋商小组</w:t>
      </w:r>
    </w:p>
    <w:p w14:paraId="66373345">
      <w:pPr>
        <w:spacing w:line="360" w:lineRule="auto"/>
        <w:rPr>
          <w:rFonts w:ascii="宋体" w:hAnsi="宋体"/>
          <w:b/>
          <w:sz w:val="24"/>
        </w:rPr>
      </w:pPr>
      <w:r>
        <w:rPr>
          <w:rFonts w:hint="eastAsia" w:ascii="宋体" w:hAnsi="宋体"/>
          <w:sz w:val="24"/>
        </w:rPr>
        <w:t>2</w:t>
      </w:r>
      <w:r>
        <w:rPr>
          <w:rFonts w:ascii="宋体" w:hAnsi="宋体"/>
          <w:sz w:val="24"/>
        </w:rPr>
        <w:t>3</w:t>
      </w:r>
      <w:r>
        <w:rPr>
          <w:rFonts w:hint="eastAsia" w:ascii="宋体" w:hAnsi="宋体"/>
          <w:sz w:val="24"/>
        </w:rPr>
        <w:t>.1代理机构将组织磋商小组对响应文件进行评审。磋商小组由采购人代表和有关技术、经济等方面的专家组成，且人员构成符合政府采购有关规定。</w:t>
      </w:r>
    </w:p>
    <w:p w14:paraId="68777769">
      <w:pPr>
        <w:spacing w:line="360" w:lineRule="auto"/>
        <w:rPr>
          <w:rFonts w:ascii="宋体" w:hAnsi="宋体"/>
          <w:sz w:val="24"/>
        </w:rPr>
      </w:pPr>
      <w:r>
        <w:rPr>
          <w:rFonts w:hint="eastAsia" w:ascii="宋体" w:hAnsi="宋体"/>
          <w:sz w:val="24"/>
        </w:rPr>
        <w:t>2</w:t>
      </w:r>
      <w:r>
        <w:rPr>
          <w:rFonts w:ascii="宋体" w:hAnsi="宋体"/>
          <w:sz w:val="24"/>
        </w:rPr>
        <w:t>3</w:t>
      </w:r>
      <w:r>
        <w:rPr>
          <w:rFonts w:hint="eastAsia" w:ascii="宋体" w:hAnsi="宋体"/>
          <w:sz w:val="24"/>
        </w:rPr>
        <w:t>.2磋商小组独立工作，负责评审所有响应文件并确定成交候选人。</w:t>
      </w:r>
    </w:p>
    <w:p w14:paraId="50CC8DD4">
      <w:pPr>
        <w:keepNext/>
        <w:keepLines/>
        <w:spacing w:line="360" w:lineRule="auto"/>
        <w:outlineLvl w:val="3"/>
        <w:rPr>
          <w:rFonts w:ascii="宋体" w:hAnsi="宋体" w:cs="Arial"/>
          <w:sz w:val="28"/>
          <w:szCs w:val="28"/>
        </w:rPr>
      </w:pPr>
      <w:r>
        <w:rPr>
          <w:rFonts w:hint="eastAsia" w:ascii="宋体" w:hAnsi="宋体" w:cs="Arial"/>
          <w:sz w:val="28"/>
          <w:szCs w:val="28"/>
        </w:rPr>
        <w:t>2</w:t>
      </w:r>
      <w:r>
        <w:rPr>
          <w:rFonts w:ascii="宋体" w:hAnsi="宋体" w:cs="Arial"/>
          <w:sz w:val="28"/>
          <w:szCs w:val="28"/>
        </w:rPr>
        <w:t>4</w:t>
      </w:r>
      <w:r>
        <w:rPr>
          <w:rFonts w:hint="eastAsia" w:ascii="宋体" w:hAnsi="宋体" w:cs="Arial"/>
          <w:sz w:val="28"/>
          <w:szCs w:val="28"/>
        </w:rPr>
        <w:t>、评审过程的保密与公正</w:t>
      </w:r>
      <w:bookmarkEnd w:id="282"/>
      <w:bookmarkEnd w:id="283"/>
      <w:bookmarkEnd w:id="284"/>
    </w:p>
    <w:p w14:paraId="6E48DC30">
      <w:pPr>
        <w:spacing w:line="360" w:lineRule="auto"/>
        <w:rPr>
          <w:rFonts w:ascii="宋体" w:hAnsi="宋体"/>
          <w:bCs/>
          <w:sz w:val="24"/>
          <w:szCs w:val="21"/>
        </w:rPr>
      </w:pPr>
      <w:r>
        <w:rPr>
          <w:rFonts w:hint="eastAsia" w:ascii="宋体" w:hAnsi="宋体"/>
          <w:sz w:val="24"/>
          <w:szCs w:val="21"/>
        </w:rPr>
        <w:t>2</w:t>
      </w:r>
      <w:r>
        <w:rPr>
          <w:rFonts w:ascii="宋体" w:hAnsi="宋体"/>
          <w:sz w:val="24"/>
          <w:szCs w:val="21"/>
        </w:rPr>
        <w:t>4</w:t>
      </w:r>
      <w:r>
        <w:rPr>
          <w:rFonts w:hint="eastAsia" w:ascii="宋体" w:hAnsi="宋体"/>
          <w:sz w:val="24"/>
          <w:szCs w:val="21"/>
        </w:rPr>
        <w:t>.1</w:t>
      </w:r>
      <w:r>
        <w:rPr>
          <w:rFonts w:hint="eastAsia" w:ascii="宋体" w:hAnsi="宋体"/>
          <w:bCs/>
          <w:sz w:val="24"/>
          <w:szCs w:val="21"/>
        </w:rPr>
        <w:t>磋商小组、采购人和代理机构工作人员、相关监督人员等与评审工作有关的人员，对评审情况以及在评审过程中获悉的国家秘密、商业秘密负有保密责任。</w:t>
      </w:r>
    </w:p>
    <w:p w14:paraId="4309A8BD">
      <w:pPr>
        <w:spacing w:line="360" w:lineRule="auto"/>
        <w:rPr>
          <w:rFonts w:ascii="宋体" w:hAnsi="宋体"/>
          <w:sz w:val="24"/>
        </w:rPr>
      </w:pPr>
      <w:r>
        <w:rPr>
          <w:rFonts w:hint="eastAsia" w:ascii="宋体" w:hAnsi="宋体"/>
          <w:sz w:val="24"/>
          <w:szCs w:val="21"/>
        </w:rPr>
        <w:t>2</w:t>
      </w:r>
      <w:r>
        <w:rPr>
          <w:rFonts w:ascii="宋体" w:hAnsi="宋体"/>
          <w:sz w:val="24"/>
          <w:szCs w:val="21"/>
        </w:rPr>
        <w:t>4</w:t>
      </w:r>
      <w:r>
        <w:rPr>
          <w:rFonts w:hint="eastAsia" w:ascii="宋体" w:hAnsi="宋体"/>
          <w:sz w:val="24"/>
          <w:szCs w:val="21"/>
        </w:rPr>
        <w:t>.2</w:t>
      </w:r>
      <w:r>
        <w:rPr>
          <w:rFonts w:hint="eastAsia" w:ascii="宋体" w:hAnsi="宋体"/>
          <w:sz w:val="24"/>
        </w:rPr>
        <w:t>在评审过程中，供应商不得以任何行为影响磋商评审过程，否则其响应文件将被作为无效响应文件。</w:t>
      </w:r>
    </w:p>
    <w:p w14:paraId="1F7EC045">
      <w:pPr>
        <w:spacing w:line="360" w:lineRule="auto"/>
        <w:rPr>
          <w:rFonts w:ascii="宋体" w:hAnsi="宋体"/>
          <w:sz w:val="24"/>
        </w:rPr>
      </w:pPr>
      <w:r>
        <w:rPr>
          <w:rFonts w:hint="eastAsia" w:ascii="宋体" w:hAnsi="宋体"/>
          <w:sz w:val="24"/>
          <w:szCs w:val="21"/>
        </w:rPr>
        <w:t>2</w:t>
      </w:r>
      <w:r>
        <w:rPr>
          <w:rFonts w:ascii="宋体" w:hAnsi="宋体"/>
          <w:sz w:val="24"/>
          <w:szCs w:val="21"/>
        </w:rPr>
        <w:t>4</w:t>
      </w:r>
      <w:r>
        <w:rPr>
          <w:rFonts w:hint="eastAsia" w:ascii="宋体" w:hAnsi="宋体"/>
          <w:sz w:val="24"/>
          <w:szCs w:val="21"/>
        </w:rPr>
        <w:t>.3</w:t>
      </w:r>
      <w:r>
        <w:rPr>
          <w:rFonts w:hint="eastAsia" w:ascii="宋体" w:hAnsi="宋体"/>
          <w:sz w:val="24"/>
        </w:rPr>
        <w:t>在项目评审期间，代理机构将设专门人员与供应商联系。</w:t>
      </w:r>
    </w:p>
    <w:p w14:paraId="6E64BA51">
      <w:pPr>
        <w:spacing w:line="360" w:lineRule="auto"/>
        <w:rPr>
          <w:rFonts w:ascii="宋体" w:hAnsi="宋体"/>
          <w:sz w:val="24"/>
        </w:rPr>
      </w:pPr>
      <w:r>
        <w:rPr>
          <w:rFonts w:ascii="宋体" w:hAnsi="宋体"/>
          <w:sz w:val="24"/>
        </w:rPr>
        <w:t>24</w:t>
      </w:r>
      <w:r>
        <w:rPr>
          <w:rFonts w:hint="eastAsia" w:ascii="宋体" w:hAnsi="宋体"/>
          <w:sz w:val="24"/>
        </w:rPr>
        <w:t>.4 代理机构和磋商小组不向未成交的供应商解释未成交原因，也不公布评审过程中的相关细节。</w:t>
      </w:r>
    </w:p>
    <w:p w14:paraId="2776CF5B">
      <w:pPr>
        <w:keepNext/>
        <w:keepLines/>
        <w:spacing w:line="360" w:lineRule="auto"/>
        <w:outlineLvl w:val="3"/>
        <w:rPr>
          <w:rFonts w:ascii="宋体" w:hAnsi="宋体" w:cs="Arial"/>
          <w:sz w:val="28"/>
          <w:szCs w:val="28"/>
        </w:rPr>
      </w:pPr>
      <w:bookmarkStart w:id="285" w:name="_Toc20823304"/>
      <w:bookmarkStart w:id="286" w:name="_Toc513029232"/>
      <w:bookmarkStart w:id="287" w:name="_Toc16938548"/>
      <w:r>
        <w:rPr>
          <w:rFonts w:hint="eastAsia" w:ascii="宋体" w:hAnsi="宋体" w:cs="Arial"/>
          <w:sz w:val="28"/>
          <w:szCs w:val="28"/>
        </w:rPr>
        <w:t>2</w:t>
      </w:r>
      <w:r>
        <w:rPr>
          <w:rFonts w:ascii="宋体" w:hAnsi="宋体" w:cs="Arial"/>
          <w:sz w:val="28"/>
          <w:szCs w:val="28"/>
        </w:rPr>
        <w:t>5</w:t>
      </w:r>
      <w:r>
        <w:rPr>
          <w:rFonts w:hint="eastAsia" w:ascii="宋体" w:hAnsi="宋体" w:cs="Arial"/>
          <w:sz w:val="28"/>
          <w:szCs w:val="28"/>
        </w:rPr>
        <w:t>、评审过程中的的澄清</w:t>
      </w:r>
      <w:bookmarkEnd w:id="285"/>
      <w:bookmarkEnd w:id="286"/>
      <w:bookmarkEnd w:id="287"/>
    </w:p>
    <w:p w14:paraId="65136770">
      <w:pPr>
        <w:spacing w:line="360" w:lineRule="auto"/>
        <w:rPr>
          <w:rFonts w:ascii="宋体" w:hAnsi="宋体" w:cs="宋体"/>
          <w:sz w:val="24"/>
        </w:rPr>
      </w:pPr>
      <w:r>
        <w:rPr>
          <w:rFonts w:hint="eastAsia" w:ascii="宋体" w:hAnsi="宋体" w:cs="宋体"/>
          <w:sz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1D83816">
      <w:pPr>
        <w:spacing w:line="360" w:lineRule="auto"/>
        <w:rPr>
          <w:rFonts w:ascii="宋体" w:hAnsi="宋体" w:cs="宋体"/>
          <w:sz w:val="24"/>
        </w:rPr>
      </w:pPr>
      <w:r>
        <w:rPr>
          <w:rFonts w:hint="eastAsia" w:ascii="宋体" w:hAnsi="宋体" w:cs="宋体"/>
          <w:sz w:val="24"/>
        </w:rPr>
        <w:t>2</w:t>
      </w:r>
      <w:r>
        <w:rPr>
          <w:rFonts w:ascii="宋体" w:hAnsi="宋体" w:cs="宋体"/>
          <w:sz w:val="24"/>
        </w:rPr>
        <w:t>5</w:t>
      </w:r>
      <w:r>
        <w:rPr>
          <w:rFonts w:hint="eastAsia" w:ascii="宋体" w:hAnsi="宋体" w:cs="宋体"/>
          <w:sz w:val="24"/>
        </w:rPr>
        <w:t>.2需要供应商进行澄清、说明和更正的，磋商小组将通过</w:t>
      </w:r>
      <w:r>
        <w:rPr>
          <w:rFonts w:hint="eastAsia" w:ascii="宋体" w:hAnsi="宋体"/>
          <w:sz w:val="24"/>
        </w:rPr>
        <w:t>苏采云系统</w:t>
      </w:r>
      <w:r>
        <w:rPr>
          <w:rFonts w:hint="eastAsia" w:ascii="宋体" w:hAnsi="宋体" w:cs="宋体"/>
          <w:sz w:val="24"/>
        </w:rPr>
        <w:t>向供应商发布“澄清要求函”，接到“澄清要求函”的供应商应当按照要求在</w:t>
      </w:r>
      <w:r>
        <w:rPr>
          <w:rFonts w:hint="eastAsia" w:ascii="宋体" w:hAnsi="宋体"/>
          <w:sz w:val="24"/>
        </w:rPr>
        <w:t>苏采云系统</w:t>
      </w:r>
      <w:r>
        <w:rPr>
          <w:rFonts w:hint="eastAsia" w:ascii="宋体" w:hAnsi="宋体" w:cs="宋体"/>
          <w:sz w:val="24"/>
        </w:rPr>
        <w:t>中提交“澄清响应函”并加盖CA电子公章。澄清、说明和更正的内容作为响应文件的补充部分，具体</w:t>
      </w:r>
      <w:r>
        <w:rPr>
          <w:rFonts w:ascii="宋体" w:hAnsi="宋体" w:cs="宋体"/>
          <w:sz w:val="24"/>
        </w:rPr>
        <w:t>操作</w:t>
      </w:r>
      <w:r>
        <w:rPr>
          <w:rFonts w:hint="eastAsia" w:ascii="宋体" w:hAnsi="宋体" w:cs="宋体"/>
          <w:sz w:val="24"/>
        </w:rPr>
        <w:t>方式</w:t>
      </w:r>
      <w:r>
        <w:rPr>
          <w:rFonts w:ascii="宋体" w:hAnsi="宋体" w:cs="宋体"/>
          <w:sz w:val="24"/>
        </w:rPr>
        <w:t>见</w:t>
      </w:r>
      <w:r>
        <w:rPr>
          <w:rFonts w:hint="eastAsia" w:ascii="宋体" w:hAnsi="宋体" w:cs="宋体"/>
          <w:sz w:val="24"/>
        </w:rPr>
        <w:t>《操作手册》。</w:t>
      </w:r>
    </w:p>
    <w:p w14:paraId="3152B143">
      <w:pPr>
        <w:spacing w:line="360" w:lineRule="auto"/>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 接到磋商小组澄清、说明和更正要求的供应商如未按规定做出澄清、说明和更正，其风险由供应商自行承担。</w:t>
      </w:r>
    </w:p>
    <w:p w14:paraId="51AE7ADD">
      <w:pPr>
        <w:keepNext/>
        <w:keepLines/>
        <w:spacing w:line="360" w:lineRule="auto"/>
        <w:outlineLvl w:val="3"/>
        <w:rPr>
          <w:rFonts w:ascii="宋体" w:hAnsi="宋体" w:cs="Arial"/>
          <w:sz w:val="28"/>
          <w:szCs w:val="28"/>
        </w:rPr>
      </w:pPr>
      <w:bookmarkStart w:id="288" w:name="_Toc16938549"/>
      <w:bookmarkStart w:id="289" w:name="_Toc20823305"/>
      <w:bookmarkStart w:id="290" w:name="_Toc513029233"/>
      <w:r>
        <w:rPr>
          <w:rFonts w:hint="eastAsia" w:ascii="宋体" w:hAnsi="宋体" w:cs="Arial"/>
          <w:sz w:val="28"/>
          <w:szCs w:val="28"/>
        </w:rPr>
        <w:t>2</w:t>
      </w:r>
      <w:r>
        <w:rPr>
          <w:rFonts w:ascii="宋体" w:hAnsi="宋体" w:cs="Arial"/>
          <w:sz w:val="28"/>
          <w:szCs w:val="28"/>
        </w:rPr>
        <w:t>6</w:t>
      </w:r>
      <w:r>
        <w:rPr>
          <w:rFonts w:hint="eastAsia" w:ascii="宋体" w:hAnsi="宋体" w:cs="Arial"/>
          <w:sz w:val="28"/>
          <w:szCs w:val="28"/>
        </w:rPr>
        <w:t>、对响应文件的审</w:t>
      </w:r>
      <w:bookmarkEnd w:id="288"/>
      <w:bookmarkEnd w:id="289"/>
      <w:bookmarkEnd w:id="290"/>
      <w:r>
        <w:rPr>
          <w:rFonts w:hint="eastAsia" w:ascii="宋体" w:hAnsi="宋体" w:cs="Arial"/>
          <w:sz w:val="28"/>
          <w:szCs w:val="28"/>
        </w:rPr>
        <w:t>查</w:t>
      </w:r>
    </w:p>
    <w:p w14:paraId="6C75C736">
      <w:pPr>
        <w:spacing w:line="360" w:lineRule="auto"/>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.1</w:t>
      </w:r>
      <w:r>
        <w:rPr>
          <w:rFonts w:hint="eastAsia" w:ascii="宋体" w:hAnsi="宋体"/>
          <w:bCs/>
          <w:sz w:val="24"/>
          <w:szCs w:val="21"/>
        </w:rPr>
        <w:t>响应文件审查分为资格审查和符合性审查。</w:t>
      </w:r>
    </w:p>
    <w:p w14:paraId="073CECD5">
      <w:pPr>
        <w:spacing w:line="360" w:lineRule="auto"/>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资格审查：由磋商小组依据法律法规和磋商文件的规定，对响应文件中的资格证明文件进行审查，以确定供应商是否具备参加磋商的资格。</w:t>
      </w:r>
    </w:p>
    <w:p w14:paraId="6167AAB8">
      <w:pPr>
        <w:spacing w:line="360" w:lineRule="auto"/>
        <w:rPr>
          <w:rFonts w:ascii="宋体" w:hAnsi="宋体"/>
          <w:bCs/>
          <w:sz w:val="24"/>
          <w:szCs w:val="21"/>
        </w:rPr>
      </w:pPr>
      <w:r>
        <w:rPr>
          <w:rFonts w:hint="eastAsia" w:ascii="宋体" w:hAnsi="宋体"/>
          <w:bCs/>
          <w:sz w:val="24"/>
          <w:szCs w:val="21"/>
        </w:rPr>
        <w:t>磋商小组在进行资格审查的同时，将在“信用中国”网站（www.creditchina.gov.cn）查询供应商的信用记录，以确定供应商是否具备磋商资格,查询结果留存并归档。</w:t>
      </w:r>
    </w:p>
    <w:p w14:paraId="2301A0C2">
      <w:pPr>
        <w:spacing w:line="360" w:lineRule="auto"/>
        <w:rPr>
          <w:rFonts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07ABD6F4">
      <w:pPr>
        <w:spacing w:line="360" w:lineRule="auto"/>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.1.2 符合性审查：依据磋商文件的规定，由磋商小组从响应文件的有效性、完整性和对磋商文件的响应程度进行审查，以确定是否对磋商文件的实质性要求作出响应。</w:t>
      </w:r>
    </w:p>
    <w:p w14:paraId="18122A65">
      <w:pPr>
        <w:spacing w:line="360" w:lineRule="auto"/>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.1.3 未通过资格审查或符合性审查的供应商，磋商小组将在</w:t>
      </w:r>
      <w:r>
        <w:rPr>
          <w:rFonts w:hint="eastAsia" w:ascii="宋体" w:hAnsi="宋体"/>
          <w:sz w:val="24"/>
        </w:rPr>
        <w:t>苏采云系统</w:t>
      </w:r>
      <w:r>
        <w:rPr>
          <w:rFonts w:hint="eastAsia" w:ascii="宋体" w:hAnsi="宋体"/>
          <w:bCs/>
          <w:sz w:val="24"/>
          <w:szCs w:val="21"/>
        </w:rPr>
        <w:t>中告知未通过资格审查或符合性审查的原因，评审结束后，磋商小组将不再告知未通过资格审查或符合性审查的原因。</w:t>
      </w:r>
    </w:p>
    <w:p w14:paraId="597BAE91">
      <w:pPr>
        <w:spacing w:line="360" w:lineRule="auto"/>
        <w:rPr>
          <w:rFonts w:ascii="宋体" w:hAnsi="宋体"/>
          <w:sz w:val="24"/>
        </w:rPr>
      </w:pPr>
      <w:r>
        <w:rPr>
          <w:rFonts w:hint="eastAsia" w:ascii="宋体" w:hAnsi="宋体"/>
          <w:sz w:val="24"/>
          <w:szCs w:val="21"/>
        </w:rPr>
        <w:t>2</w:t>
      </w:r>
      <w:r>
        <w:rPr>
          <w:rFonts w:ascii="宋体" w:hAnsi="宋体"/>
          <w:sz w:val="24"/>
          <w:szCs w:val="21"/>
        </w:rPr>
        <w:t>6</w:t>
      </w:r>
      <w:r>
        <w:rPr>
          <w:rFonts w:hint="eastAsia" w:ascii="宋体" w:hAnsi="宋体"/>
          <w:sz w:val="24"/>
          <w:szCs w:val="21"/>
        </w:rPr>
        <w:t>.2</w:t>
      </w:r>
      <w:r>
        <w:rPr>
          <w:rFonts w:hint="eastAsia" w:ascii="宋体" w:hAnsi="宋体"/>
          <w:sz w:val="24"/>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代理机构</w:t>
      </w:r>
      <w:r>
        <w:rPr>
          <w:rFonts w:hint="eastAsia" w:ascii="宋体" w:hAnsi="宋体"/>
          <w:sz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24D1B52">
      <w:pPr>
        <w:spacing w:line="360" w:lineRule="auto"/>
        <w:rPr>
          <w:rFonts w:ascii="宋体" w:hAnsi="宋体"/>
          <w:bCs/>
          <w:sz w:val="24"/>
          <w:szCs w:val="21"/>
        </w:rPr>
      </w:pPr>
      <w:r>
        <w:rPr>
          <w:rFonts w:hint="eastAsia" w:ascii="宋体" w:hAnsi="宋体"/>
          <w:bCs/>
          <w:sz w:val="24"/>
          <w:szCs w:val="21"/>
        </w:rPr>
        <w:t>26.3未实质性响应磋商文件的情形</w:t>
      </w:r>
    </w:p>
    <w:p w14:paraId="0C629922">
      <w:pPr>
        <w:spacing w:line="360" w:lineRule="auto"/>
        <w:rPr>
          <w:rFonts w:ascii="宋体" w:hAnsi="宋体"/>
          <w:bCs/>
          <w:sz w:val="24"/>
          <w:szCs w:val="21"/>
        </w:rPr>
      </w:pPr>
      <w:r>
        <w:rPr>
          <w:rFonts w:hint="eastAsia" w:ascii="宋体" w:hAnsi="宋体"/>
          <w:bCs/>
          <w:sz w:val="24"/>
          <w:szCs w:val="21"/>
        </w:rPr>
        <w:t>26.3.1供应商在</w:t>
      </w:r>
      <w:r>
        <w:rPr>
          <w:rFonts w:hint="eastAsia" w:ascii="宋体" w:hAnsi="宋体"/>
          <w:sz w:val="24"/>
        </w:rPr>
        <w:t>苏采云系统</w:t>
      </w:r>
      <w:r>
        <w:rPr>
          <w:rFonts w:hint="eastAsia" w:ascii="宋体" w:hAnsi="宋体"/>
          <w:bCs/>
          <w:sz w:val="24"/>
          <w:szCs w:val="21"/>
        </w:rPr>
        <w:t>规定的时间内未成功解密电子响应文件的。</w:t>
      </w:r>
    </w:p>
    <w:p w14:paraId="196D3E9B">
      <w:pPr>
        <w:spacing w:line="360" w:lineRule="auto"/>
        <w:rPr>
          <w:rFonts w:ascii="宋体" w:hAnsi="宋体"/>
          <w:bCs/>
          <w:sz w:val="24"/>
          <w:szCs w:val="21"/>
        </w:rPr>
      </w:pPr>
      <w:r>
        <w:rPr>
          <w:rFonts w:hint="eastAsia" w:ascii="宋体" w:hAnsi="宋体"/>
          <w:bCs/>
          <w:sz w:val="24"/>
          <w:szCs w:val="21"/>
        </w:rPr>
        <w:t>26.3.2供应商未按照磋商文件要求上传电子响应文件的。</w:t>
      </w:r>
    </w:p>
    <w:p w14:paraId="161CD927">
      <w:pPr>
        <w:spacing w:line="360" w:lineRule="auto"/>
        <w:rPr>
          <w:rFonts w:ascii="宋体" w:hAnsi="宋体"/>
          <w:bCs/>
          <w:sz w:val="24"/>
          <w:szCs w:val="21"/>
        </w:rPr>
      </w:pPr>
      <w:r>
        <w:rPr>
          <w:rFonts w:hint="eastAsia" w:ascii="宋体" w:hAnsi="宋体"/>
          <w:bCs/>
          <w:sz w:val="24"/>
          <w:szCs w:val="21"/>
        </w:rPr>
        <w:t>26.3.3同一供应商提交两个（含两个）以上不同的响应文件或者最后报价的。</w:t>
      </w:r>
    </w:p>
    <w:p w14:paraId="6BAAE56B">
      <w:pPr>
        <w:spacing w:line="360" w:lineRule="auto"/>
        <w:rPr>
          <w:rFonts w:ascii="宋体" w:hAnsi="宋体"/>
          <w:bCs/>
          <w:sz w:val="24"/>
          <w:szCs w:val="21"/>
        </w:rPr>
      </w:pPr>
      <w:r>
        <w:rPr>
          <w:rFonts w:hint="eastAsia" w:ascii="宋体" w:hAnsi="宋体"/>
          <w:bCs/>
          <w:sz w:val="24"/>
          <w:szCs w:val="21"/>
        </w:rPr>
        <w:t>26.3.4供应商不具备磋商文件中规定资格要求的。</w:t>
      </w:r>
    </w:p>
    <w:p w14:paraId="30234B11">
      <w:pPr>
        <w:spacing w:line="360" w:lineRule="auto"/>
        <w:rPr>
          <w:rFonts w:ascii="宋体" w:hAnsi="宋体"/>
          <w:bCs/>
          <w:sz w:val="24"/>
          <w:szCs w:val="21"/>
        </w:rPr>
      </w:pPr>
      <w:r>
        <w:rPr>
          <w:rFonts w:hint="eastAsia" w:ascii="宋体" w:hAnsi="宋体"/>
          <w:bCs/>
          <w:sz w:val="24"/>
          <w:szCs w:val="21"/>
        </w:rPr>
        <w:t>26.3.5供应商的最后报价超过了采购预算。</w:t>
      </w:r>
    </w:p>
    <w:p w14:paraId="5197749D">
      <w:pPr>
        <w:spacing w:line="360" w:lineRule="auto"/>
        <w:rPr>
          <w:rFonts w:ascii="宋体" w:hAnsi="宋体"/>
          <w:bCs/>
          <w:sz w:val="24"/>
          <w:szCs w:val="21"/>
        </w:rPr>
      </w:pPr>
      <w:r>
        <w:rPr>
          <w:rFonts w:hint="eastAsia" w:ascii="宋体" w:hAnsi="宋体"/>
          <w:bCs/>
          <w:sz w:val="24"/>
          <w:szCs w:val="21"/>
        </w:rPr>
        <w:t>26.3.6不符合磋商文件中规定的实质性要求和条件的</w:t>
      </w:r>
    </w:p>
    <w:p w14:paraId="1D1F0C18">
      <w:pPr>
        <w:spacing w:line="360" w:lineRule="auto"/>
        <w:rPr>
          <w:rFonts w:ascii="宋体" w:hAnsi="宋体"/>
          <w:bCs/>
          <w:sz w:val="24"/>
          <w:szCs w:val="21"/>
        </w:rPr>
      </w:pPr>
      <w:r>
        <w:rPr>
          <w:rFonts w:hint="eastAsia" w:ascii="宋体" w:hAnsi="宋体"/>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72D07DC">
      <w:pPr>
        <w:spacing w:line="360" w:lineRule="auto"/>
        <w:rPr>
          <w:rFonts w:ascii="宋体" w:hAnsi="宋体"/>
          <w:bCs/>
          <w:sz w:val="24"/>
          <w:szCs w:val="21"/>
        </w:rPr>
      </w:pPr>
      <w:r>
        <w:rPr>
          <w:rFonts w:hint="eastAsia" w:ascii="宋体" w:hAnsi="宋体"/>
          <w:bCs/>
          <w:sz w:val="24"/>
          <w:szCs w:val="21"/>
        </w:rPr>
        <w:t>26.3.8  响应文件含有采购人不能接受的附加条件的。</w:t>
      </w:r>
    </w:p>
    <w:p w14:paraId="03BA257B">
      <w:pPr>
        <w:spacing w:line="360" w:lineRule="auto"/>
        <w:rPr>
          <w:rFonts w:ascii="宋体" w:hAnsi="宋体"/>
          <w:bCs/>
          <w:sz w:val="24"/>
          <w:szCs w:val="21"/>
        </w:rPr>
      </w:pPr>
      <w:r>
        <w:rPr>
          <w:rFonts w:hint="eastAsia" w:ascii="宋体" w:hAnsi="宋体"/>
          <w:bCs/>
          <w:sz w:val="24"/>
          <w:szCs w:val="21"/>
        </w:rPr>
        <w:t>2</w:t>
      </w:r>
      <w:r>
        <w:rPr>
          <w:rFonts w:ascii="宋体" w:hAnsi="宋体"/>
          <w:bCs/>
          <w:sz w:val="24"/>
          <w:szCs w:val="21"/>
        </w:rPr>
        <w:t>6.3.9</w:t>
      </w:r>
      <w:r>
        <w:rPr>
          <w:rFonts w:hint="eastAsia" w:ascii="宋体" w:hAnsi="宋体"/>
          <w:bCs/>
          <w:sz w:val="24"/>
          <w:szCs w:val="21"/>
        </w:rPr>
        <w:t>磋商小组</w:t>
      </w:r>
      <w:r>
        <w:rPr>
          <w:rFonts w:ascii="宋体" w:hAnsi="宋体"/>
          <w:bCs/>
          <w:sz w:val="24"/>
          <w:szCs w:val="21"/>
        </w:rPr>
        <w:t>认为</w:t>
      </w:r>
      <w:r>
        <w:rPr>
          <w:rFonts w:hint="eastAsia" w:ascii="宋体" w:hAnsi="宋体"/>
          <w:bCs/>
          <w:sz w:val="24"/>
          <w:szCs w:val="21"/>
        </w:rPr>
        <w:t>供应商</w:t>
      </w:r>
      <w:r>
        <w:rPr>
          <w:rFonts w:ascii="宋体" w:hAnsi="宋体"/>
          <w:bCs/>
          <w:sz w:val="24"/>
          <w:szCs w:val="21"/>
        </w:rPr>
        <w:t>的报价明显低于其他通过符合性审查</w:t>
      </w:r>
      <w:r>
        <w:rPr>
          <w:rFonts w:hint="eastAsia" w:ascii="宋体" w:hAnsi="宋体"/>
          <w:bCs/>
          <w:sz w:val="24"/>
          <w:szCs w:val="21"/>
        </w:rPr>
        <w:t>供应商</w:t>
      </w:r>
      <w:r>
        <w:rPr>
          <w:rFonts w:ascii="宋体" w:hAnsi="宋体"/>
          <w:bCs/>
          <w:sz w:val="24"/>
          <w:szCs w:val="21"/>
        </w:rPr>
        <w:t>的报价，有可能影响产品质量或者不能诚信履约的，将通过苏采云系统要求其在合理的时间内提供说明，必要时提交相关证明材料；</w:t>
      </w:r>
      <w:r>
        <w:rPr>
          <w:rFonts w:hint="eastAsia" w:ascii="宋体" w:hAnsi="宋体"/>
          <w:bCs/>
          <w:sz w:val="24"/>
          <w:szCs w:val="21"/>
        </w:rPr>
        <w:t>供应商</w:t>
      </w:r>
      <w:r>
        <w:rPr>
          <w:rFonts w:ascii="宋体" w:hAnsi="宋体"/>
          <w:bCs/>
          <w:sz w:val="24"/>
          <w:szCs w:val="21"/>
        </w:rPr>
        <w:t>不能证明其报价合理性的，</w:t>
      </w:r>
      <w:r>
        <w:rPr>
          <w:rFonts w:hint="eastAsia" w:ascii="宋体" w:hAnsi="宋体"/>
          <w:bCs/>
          <w:sz w:val="24"/>
          <w:szCs w:val="21"/>
        </w:rPr>
        <w:t>磋商小组</w:t>
      </w:r>
      <w:r>
        <w:rPr>
          <w:rFonts w:ascii="宋体" w:hAnsi="宋体"/>
          <w:bCs/>
          <w:sz w:val="24"/>
          <w:szCs w:val="21"/>
        </w:rPr>
        <w:t>应当将其作为无效</w:t>
      </w:r>
      <w:r>
        <w:rPr>
          <w:rFonts w:hint="eastAsia" w:ascii="宋体" w:hAnsi="宋体"/>
          <w:bCs/>
          <w:sz w:val="24"/>
          <w:szCs w:val="21"/>
        </w:rPr>
        <w:t>响应</w:t>
      </w:r>
      <w:r>
        <w:rPr>
          <w:rFonts w:ascii="宋体" w:hAnsi="宋体"/>
          <w:bCs/>
          <w:sz w:val="24"/>
          <w:szCs w:val="21"/>
        </w:rPr>
        <w:t>处理。</w:t>
      </w:r>
    </w:p>
    <w:p w14:paraId="327EDE8A">
      <w:pPr>
        <w:spacing w:line="360" w:lineRule="auto"/>
        <w:rPr>
          <w:rFonts w:ascii="宋体" w:hAnsi="宋体"/>
          <w:bCs/>
          <w:sz w:val="24"/>
          <w:szCs w:val="21"/>
        </w:rPr>
      </w:pPr>
      <w:r>
        <w:rPr>
          <w:rFonts w:hint="eastAsia" w:ascii="宋体" w:hAnsi="宋体"/>
          <w:bCs/>
          <w:sz w:val="24"/>
          <w:szCs w:val="21"/>
        </w:rPr>
        <w:t>26.3.</w:t>
      </w:r>
      <w:r>
        <w:rPr>
          <w:rFonts w:ascii="宋体" w:hAnsi="宋体"/>
          <w:bCs/>
          <w:sz w:val="24"/>
          <w:szCs w:val="21"/>
        </w:rPr>
        <w:t>10</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157D2F2">
      <w:pPr>
        <w:spacing w:line="360" w:lineRule="auto"/>
        <w:rPr>
          <w:rFonts w:ascii="宋体" w:hAnsi="宋体"/>
          <w:bCs/>
          <w:sz w:val="24"/>
          <w:szCs w:val="21"/>
        </w:rPr>
      </w:pPr>
      <w:r>
        <w:rPr>
          <w:rFonts w:hint="eastAsia" w:ascii="宋体" w:hAnsi="宋体"/>
          <w:bCs/>
          <w:sz w:val="24"/>
          <w:szCs w:val="21"/>
        </w:rPr>
        <w:t>26.3.1</w:t>
      </w:r>
      <w:r>
        <w:rPr>
          <w:rFonts w:ascii="宋体" w:hAnsi="宋体"/>
          <w:bCs/>
          <w:sz w:val="24"/>
          <w:szCs w:val="21"/>
        </w:rPr>
        <w:t>1</w:t>
      </w:r>
      <w:r>
        <w:rPr>
          <w:rFonts w:hint="eastAsia" w:ascii="宋体" w:hAnsi="宋体"/>
          <w:bCs/>
          <w:sz w:val="24"/>
          <w:szCs w:val="21"/>
        </w:rPr>
        <w:t>响应文件未按照磋商文件要求加盖CA电子公章的。</w:t>
      </w:r>
    </w:p>
    <w:p w14:paraId="551320DA">
      <w:pPr>
        <w:spacing w:line="360" w:lineRule="auto"/>
        <w:rPr>
          <w:rFonts w:ascii="宋体" w:hAnsi="宋体"/>
          <w:bCs/>
          <w:sz w:val="24"/>
          <w:szCs w:val="21"/>
        </w:rPr>
      </w:pPr>
      <w:r>
        <w:rPr>
          <w:rFonts w:hint="eastAsia" w:ascii="宋体" w:hAnsi="宋体"/>
          <w:bCs/>
          <w:sz w:val="24"/>
          <w:szCs w:val="21"/>
        </w:rPr>
        <w:t>26.4未实质性响应磋商文件的响应文件按无效响应处理。</w:t>
      </w:r>
    </w:p>
    <w:p w14:paraId="3B1F6AFD">
      <w:pPr>
        <w:spacing w:line="360" w:lineRule="auto"/>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.5</w:t>
      </w:r>
      <w:r>
        <w:rPr>
          <w:rFonts w:hint="eastAsia" w:ascii="宋体" w:hAnsi="宋体"/>
          <w:bCs/>
          <w:sz w:val="24"/>
          <w:szCs w:val="21"/>
        </w:rPr>
        <w:t>如果响应文件实质上没有响应磋商文件的要求，磋商小组将予以拒绝，供应商不得通过修改或撤销不合要求的偏离或保留而使其成为实质性响应的文件。</w:t>
      </w:r>
    </w:p>
    <w:p w14:paraId="18DE413D">
      <w:pPr>
        <w:spacing w:line="360" w:lineRule="auto"/>
        <w:rPr>
          <w:rFonts w:ascii="宋体" w:hAnsi="宋体"/>
          <w:sz w:val="24"/>
          <w:szCs w:val="21"/>
        </w:rPr>
      </w:pPr>
      <w:bookmarkStart w:id="291" w:name="_Toc20823306"/>
      <w:bookmarkStart w:id="292" w:name="_Toc16938550"/>
      <w:bookmarkStart w:id="293" w:name="_Toc513029234"/>
      <w:r>
        <w:rPr>
          <w:rFonts w:hint="eastAsia" w:ascii="宋体" w:hAnsi="宋体"/>
          <w:sz w:val="24"/>
          <w:szCs w:val="21"/>
        </w:rPr>
        <w:t>2</w:t>
      </w:r>
      <w:r>
        <w:rPr>
          <w:rFonts w:ascii="宋体" w:hAnsi="宋体"/>
          <w:sz w:val="24"/>
          <w:szCs w:val="21"/>
        </w:rPr>
        <w:t>6</w:t>
      </w:r>
      <w:r>
        <w:rPr>
          <w:rFonts w:hint="eastAsia" w:ascii="宋体" w:hAnsi="宋体"/>
          <w:sz w:val="24"/>
          <w:szCs w:val="21"/>
        </w:rPr>
        <w:t>.6供应商在项目评审全过程中应保持通讯畅通，并安排专人与代理机构及磋商小组联系。</w:t>
      </w:r>
    </w:p>
    <w:p w14:paraId="2DCEC080">
      <w:pPr>
        <w:keepNext/>
        <w:keepLines/>
        <w:spacing w:line="360" w:lineRule="auto"/>
        <w:outlineLvl w:val="3"/>
        <w:rPr>
          <w:rFonts w:ascii="宋体" w:hAnsi="宋体" w:cs="Arial"/>
          <w:sz w:val="28"/>
          <w:szCs w:val="28"/>
        </w:rPr>
      </w:pPr>
      <w:r>
        <w:rPr>
          <w:rFonts w:hint="eastAsia" w:ascii="宋体" w:hAnsi="宋体" w:cs="Arial"/>
          <w:sz w:val="28"/>
          <w:szCs w:val="28"/>
        </w:rPr>
        <w:t>2</w:t>
      </w:r>
      <w:r>
        <w:rPr>
          <w:rFonts w:ascii="宋体" w:hAnsi="宋体" w:cs="Arial"/>
          <w:sz w:val="28"/>
          <w:szCs w:val="28"/>
        </w:rPr>
        <w:t>7</w:t>
      </w:r>
      <w:r>
        <w:rPr>
          <w:rFonts w:hint="eastAsia" w:ascii="宋体" w:hAnsi="宋体" w:cs="Arial"/>
          <w:sz w:val="28"/>
          <w:szCs w:val="28"/>
        </w:rPr>
        <w:t>、</w:t>
      </w:r>
      <w:bookmarkEnd w:id="291"/>
      <w:bookmarkEnd w:id="292"/>
      <w:bookmarkEnd w:id="293"/>
      <w:r>
        <w:rPr>
          <w:rFonts w:hint="eastAsia" w:ascii="宋体" w:hAnsi="宋体" w:cs="Arial"/>
          <w:sz w:val="28"/>
          <w:szCs w:val="28"/>
        </w:rPr>
        <w:t>磋商程序及评审方法和评审标准</w:t>
      </w:r>
    </w:p>
    <w:p w14:paraId="0C1444FC">
      <w:pPr>
        <w:tabs>
          <w:tab w:val="left" w:pos="900"/>
        </w:tabs>
        <w:spacing w:line="360" w:lineRule="auto"/>
        <w:rPr>
          <w:rFonts w:ascii="宋体" w:hAnsi="宋体"/>
          <w:sz w:val="24"/>
        </w:rPr>
      </w:pPr>
      <w:r>
        <w:rPr>
          <w:rFonts w:hint="eastAsia" w:ascii="宋体" w:hAnsi="宋体"/>
          <w:sz w:val="24"/>
        </w:rPr>
        <w:t>27.1磋商程序</w:t>
      </w:r>
    </w:p>
    <w:p w14:paraId="72F5FCDB">
      <w:pPr>
        <w:tabs>
          <w:tab w:val="left" w:pos="900"/>
        </w:tabs>
        <w:spacing w:line="360" w:lineRule="auto"/>
        <w:rPr>
          <w:rFonts w:ascii="宋体" w:hAnsi="宋体"/>
          <w:sz w:val="24"/>
        </w:rPr>
      </w:pPr>
      <w:r>
        <w:rPr>
          <w:rFonts w:hint="eastAsia" w:ascii="宋体" w:hAnsi="宋体"/>
          <w:sz w:val="24"/>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EF87D92">
      <w:pPr>
        <w:tabs>
          <w:tab w:val="left" w:pos="900"/>
        </w:tabs>
        <w:spacing w:line="360" w:lineRule="auto"/>
        <w:rPr>
          <w:rFonts w:ascii="宋体" w:hAnsi="宋体"/>
          <w:sz w:val="24"/>
        </w:rPr>
      </w:pPr>
      <w:r>
        <w:rPr>
          <w:rFonts w:hint="eastAsia" w:ascii="宋体" w:hAnsi="宋体"/>
          <w:sz w:val="24"/>
        </w:rPr>
        <w:t>27.1.2</w:t>
      </w:r>
      <w:r>
        <w:rPr>
          <w:rFonts w:ascii="宋体" w:hAnsi="宋体"/>
          <w:sz w:val="24"/>
        </w:rPr>
        <w:t>磋商文件能够详细列明采购标的的技术、服务要求的，磋商结束后，磋商小组</w:t>
      </w:r>
      <w:r>
        <w:rPr>
          <w:rFonts w:hint="eastAsia" w:ascii="宋体" w:hAnsi="宋体"/>
          <w:sz w:val="24"/>
        </w:rPr>
        <w:t>将在苏采云系统向所有</w:t>
      </w:r>
      <w:r>
        <w:rPr>
          <w:rFonts w:ascii="宋体" w:hAnsi="宋体"/>
          <w:sz w:val="24"/>
        </w:rPr>
        <w:t>实质性响应的供应商</w:t>
      </w:r>
      <w:r>
        <w:rPr>
          <w:rFonts w:hint="eastAsia" w:ascii="宋体" w:hAnsi="宋体"/>
          <w:sz w:val="24"/>
        </w:rPr>
        <w:t>发布“最后报价要求函”及最后报价格式表，</w:t>
      </w:r>
      <w:r>
        <w:rPr>
          <w:rFonts w:ascii="宋体" w:hAnsi="宋体"/>
          <w:sz w:val="24"/>
        </w:rPr>
        <w:t>要求所有实质性响应的供应商在规定时间内提交最后报价。</w:t>
      </w:r>
      <w:r>
        <w:rPr>
          <w:rFonts w:hint="eastAsia" w:ascii="宋体" w:hAnsi="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74060DF">
      <w:pPr>
        <w:tabs>
          <w:tab w:val="left" w:pos="900"/>
        </w:tabs>
        <w:spacing w:line="360" w:lineRule="auto"/>
        <w:rPr>
          <w:rFonts w:ascii="宋体" w:hAnsi="宋体"/>
          <w:sz w:val="24"/>
        </w:rPr>
      </w:pPr>
      <w:r>
        <w:rPr>
          <w:rFonts w:hint="eastAsia" w:ascii="宋体" w:hAnsi="宋体"/>
          <w:sz w:val="24"/>
        </w:rPr>
        <w:t>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已提交响应文件的供应商，在提交最后报价之前，可以根据磋商情况退出磋商</w:t>
      </w:r>
      <w:r>
        <w:rPr>
          <w:rFonts w:hint="eastAsia" w:ascii="宋体" w:hAnsi="宋体"/>
          <w:sz w:val="24"/>
        </w:rPr>
        <w:t>，并在苏采云系统中提交“退出磋商函”并加盖CA电子公章</w:t>
      </w:r>
      <w:r>
        <w:rPr>
          <w:rFonts w:ascii="宋体" w:hAnsi="宋体"/>
          <w:sz w:val="24"/>
        </w:rPr>
        <w:t>。</w:t>
      </w:r>
    </w:p>
    <w:p w14:paraId="4670E5E5">
      <w:pPr>
        <w:tabs>
          <w:tab w:val="left" w:pos="900"/>
        </w:tabs>
        <w:spacing w:line="360" w:lineRule="auto"/>
        <w:rPr>
          <w:rFonts w:ascii="宋体" w:hAnsi="宋体"/>
          <w:sz w:val="24"/>
        </w:rPr>
      </w:pPr>
      <w:r>
        <w:rPr>
          <w:rFonts w:hint="eastAsia" w:ascii="宋体" w:hAnsi="宋体"/>
          <w:sz w:val="24"/>
        </w:rPr>
        <w:t>27.2 评审方法和评审标准</w:t>
      </w:r>
    </w:p>
    <w:p w14:paraId="662D5B0F">
      <w:pPr>
        <w:tabs>
          <w:tab w:val="left" w:pos="900"/>
        </w:tabs>
        <w:spacing w:line="360" w:lineRule="auto"/>
        <w:rPr>
          <w:rFonts w:ascii="宋体" w:hAnsi="宋体"/>
          <w:sz w:val="24"/>
        </w:rPr>
      </w:pPr>
      <w:r>
        <w:rPr>
          <w:rFonts w:hint="eastAsia" w:ascii="宋体" w:hAnsi="宋体"/>
          <w:sz w:val="24"/>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FDF3E11">
      <w:pPr>
        <w:tabs>
          <w:tab w:val="left" w:pos="900"/>
        </w:tabs>
        <w:spacing w:line="360" w:lineRule="auto"/>
        <w:rPr>
          <w:rFonts w:ascii="宋体" w:hAnsi="宋体"/>
          <w:sz w:val="24"/>
        </w:rPr>
      </w:pPr>
      <w:r>
        <w:rPr>
          <w:rFonts w:hint="eastAsia" w:ascii="宋体" w:hAnsi="宋体"/>
          <w:sz w:val="24"/>
        </w:rPr>
        <w:t>27.2.2评审标准</w:t>
      </w:r>
    </w:p>
    <w:p w14:paraId="017398DE">
      <w:pPr>
        <w:tabs>
          <w:tab w:val="left" w:pos="900"/>
        </w:tabs>
        <w:spacing w:line="360" w:lineRule="auto"/>
        <w:rPr>
          <w:rFonts w:ascii="宋体" w:hAnsi="宋体"/>
          <w:sz w:val="24"/>
        </w:rPr>
      </w:pPr>
      <w:r>
        <w:rPr>
          <w:rFonts w:hint="eastAsia" w:ascii="宋体" w:hAnsi="宋体"/>
          <w:sz w:val="24"/>
        </w:rPr>
        <w:t>见本磋商文件第四章规定。</w:t>
      </w:r>
    </w:p>
    <w:p w14:paraId="0C500750">
      <w:pPr>
        <w:tabs>
          <w:tab w:val="left" w:pos="900"/>
        </w:tabs>
        <w:spacing w:line="360" w:lineRule="auto"/>
        <w:rPr>
          <w:rFonts w:ascii="宋体" w:hAnsi="宋体"/>
          <w:sz w:val="24"/>
        </w:rPr>
      </w:pPr>
      <w:r>
        <w:rPr>
          <w:rFonts w:hint="eastAsia" w:ascii="宋体" w:hAnsi="宋体"/>
          <w:sz w:val="24"/>
        </w:rPr>
        <w:t>27.3采购活动终止的情况</w:t>
      </w:r>
    </w:p>
    <w:p w14:paraId="29016F84">
      <w:pPr>
        <w:tabs>
          <w:tab w:val="left" w:pos="900"/>
        </w:tabs>
        <w:spacing w:line="360" w:lineRule="auto"/>
        <w:rPr>
          <w:rFonts w:ascii="宋体" w:hAnsi="宋体"/>
          <w:sz w:val="24"/>
        </w:rPr>
      </w:pPr>
      <w:r>
        <w:rPr>
          <w:rFonts w:hint="eastAsia" w:ascii="宋体" w:hAnsi="宋体"/>
          <w:sz w:val="24"/>
        </w:rPr>
        <w:t>出现下列情形之一的，本次竞争性磋商采购活动将被终止：</w:t>
      </w:r>
    </w:p>
    <w:p w14:paraId="2040F8AA">
      <w:pPr>
        <w:tabs>
          <w:tab w:val="left" w:pos="900"/>
        </w:tabs>
        <w:spacing w:line="360" w:lineRule="auto"/>
        <w:rPr>
          <w:rFonts w:ascii="宋体" w:hAnsi="宋体"/>
          <w:sz w:val="24"/>
        </w:rPr>
      </w:pPr>
      <w:r>
        <w:rPr>
          <w:rFonts w:hint="eastAsia" w:ascii="宋体" w:hAnsi="宋体"/>
          <w:sz w:val="24"/>
        </w:rPr>
        <w:t>27.3.1因情况变化，不再符合规定的竞争性磋商采购方式适用情形的。</w:t>
      </w:r>
    </w:p>
    <w:p w14:paraId="74693740">
      <w:pPr>
        <w:tabs>
          <w:tab w:val="left" w:pos="900"/>
        </w:tabs>
        <w:spacing w:line="360" w:lineRule="auto"/>
        <w:rPr>
          <w:rFonts w:ascii="宋体" w:hAnsi="宋体"/>
          <w:sz w:val="24"/>
        </w:rPr>
      </w:pPr>
      <w:r>
        <w:rPr>
          <w:rFonts w:hint="eastAsia" w:ascii="宋体" w:hAnsi="宋体"/>
          <w:sz w:val="24"/>
        </w:rPr>
        <w:t>27.3.2出现影响采购公正的违法、违规行为的。</w:t>
      </w:r>
    </w:p>
    <w:p w14:paraId="0C324914">
      <w:pPr>
        <w:tabs>
          <w:tab w:val="left" w:pos="900"/>
        </w:tabs>
        <w:spacing w:line="360" w:lineRule="auto"/>
        <w:rPr>
          <w:rFonts w:ascii="宋体" w:hAnsi="宋体"/>
          <w:sz w:val="24"/>
        </w:rPr>
      </w:pPr>
      <w:r>
        <w:rPr>
          <w:rFonts w:hint="eastAsia" w:ascii="宋体" w:hAnsi="宋体"/>
          <w:sz w:val="24"/>
        </w:rPr>
        <w:t>27.3.3除本磋商文件第二章第27.1.2条第三款规定的情形外，在采购过程中符合要求的供应商或者最后报价未超过采购预算的供应商不足3家的。</w:t>
      </w:r>
    </w:p>
    <w:p w14:paraId="7AD455BC">
      <w:pPr>
        <w:tabs>
          <w:tab w:val="left" w:pos="900"/>
        </w:tabs>
        <w:spacing w:line="360" w:lineRule="auto"/>
        <w:rPr>
          <w:rFonts w:ascii="宋体" w:hAnsi="宋体" w:cs="宋体"/>
          <w:sz w:val="24"/>
        </w:rPr>
      </w:pPr>
      <w:r>
        <w:rPr>
          <w:rFonts w:hint="eastAsia" w:ascii="宋体" w:hAnsi="宋体" w:cs="宋体"/>
          <w:sz w:val="24"/>
        </w:rPr>
        <w:t>27.3.4在</w:t>
      </w:r>
      <w:r>
        <w:rPr>
          <w:rFonts w:hint="eastAsia" w:ascii="宋体" w:hAnsi="宋体"/>
          <w:sz w:val="24"/>
        </w:rPr>
        <w:t>苏采云系统</w:t>
      </w:r>
      <w:r>
        <w:rPr>
          <w:rFonts w:hint="eastAsia" w:ascii="宋体" w:hAnsi="宋体" w:cs="宋体"/>
          <w:sz w:val="24"/>
        </w:rPr>
        <w:t>规定时间内成功解密电子响应文件的供应商不足3家的。</w:t>
      </w:r>
    </w:p>
    <w:p w14:paraId="06D556E6">
      <w:pPr>
        <w:keepNext/>
        <w:keepLines/>
        <w:spacing w:line="360" w:lineRule="auto"/>
        <w:outlineLvl w:val="2"/>
        <w:rPr>
          <w:rFonts w:ascii="宋体" w:hAnsi="宋体"/>
          <w:b/>
          <w:bCs/>
          <w:sz w:val="32"/>
          <w:szCs w:val="32"/>
        </w:rPr>
      </w:pPr>
      <w:bookmarkStart w:id="294" w:name="_Toc120614219"/>
      <w:bookmarkStart w:id="295" w:name="_Toc20823307"/>
      <w:bookmarkStart w:id="296" w:name="_Toc16938551"/>
      <w:bookmarkStart w:id="297" w:name="_Toc513029235"/>
      <w:bookmarkStart w:id="298" w:name="_Toc160609036"/>
      <w:bookmarkStart w:id="299" w:name="_Toc21246"/>
      <w:bookmarkStart w:id="300" w:name="_Toc9018"/>
      <w:bookmarkStart w:id="301" w:name="_Toc152678629"/>
      <w:bookmarkStart w:id="302" w:name="_Toc152678548"/>
      <w:r>
        <w:rPr>
          <w:rFonts w:hint="eastAsia" w:ascii="宋体" w:hAnsi="宋体"/>
          <w:b/>
          <w:bCs/>
          <w:sz w:val="32"/>
          <w:szCs w:val="32"/>
        </w:rPr>
        <w:t>六、</w:t>
      </w:r>
      <w:bookmarkEnd w:id="294"/>
      <w:bookmarkEnd w:id="295"/>
      <w:bookmarkEnd w:id="296"/>
      <w:bookmarkEnd w:id="297"/>
      <w:r>
        <w:rPr>
          <w:rFonts w:hint="eastAsia" w:ascii="宋体" w:hAnsi="宋体"/>
          <w:b/>
          <w:bCs/>
          <w:sz w:val="32"/>
          <w:szCs w:val="32"/>
        </w:rPr>
        <w:t>成交</w:t>
      </w:r>
      <w:bookmarkEnd w:id="298"/>
      <w:bookmarkEnd w:id="299"/>
      <w:bookmarkEnd w:id="300"/>
      <w:bookmarkEnd w:id="301"/>
      <w:bookmarkEnd w:id="302"/>
    </w:p>
    <w:p w14:paraId="426478DC">
      <w:pPr>
        <w:keepNext/>
        <w:keepLines/>
        <w:spacing w:line="360" w:lineRule="auto"/>
        <w:outlineLvl w:val="3"/>
        <w:rPr>
          <w:rFonts w:ascii="宋体" w:hAnsi="宋体"/>
          <w:bCs/>
          <w:sz w:val="30"/>
          <w:szCs w:val="30"/>
        </w:rPr>
      </w:pPr>
      <w:bookmarkStart w:id="303" w:name="_Toc513029238"/>
      <w:bookmarkStart w:id="304" w:name="_Toc16938554"/>
      <w:bookmarkStart w:id="305" w:name="_Toc20823310"/>
      <w:r>
        <w:rPr>
          <w:rFonts w:hint="eastAsia" w:ascii="宋体" w:hAnsi="宋体"/>
          <w:bCs/>
          <w:sz w:val="30"/>
          <w:szCs w:val="30"/>
        </w:rPr>
        <w:t>2</w:t>
      </w:r>
      <w:r>
        <w:rPr>
          <w:rFonts w:ascii="宋体" w:hAnsi="宋体"/>
          <w:bCs/>
          <w:sz w:val="30"/>
          <w:szCs w:val="30"/>
        </w:rPr>
        <w:t>8</w:t>
      </w:r>
      <w:r>
        <w:rPr>
          <w:rFonts w:hint="eastAsia" w:ascii="宋体" w:hAnsi="宋体"/>
          <w:bCs/>
          <w:sz w:val="30"/>
          <w:szCs w:val="30"/>
        </w:rPr>
        <w:t>、</w:t>
      </w:r>
      <w:bookmarkEnd w:id="303"/>
      <w:r>
        <w:rPr>
          <w:rFonts w:hint="eastAsia" w:ascii="宋体" w:hAnsi="宋体"/>
          <w:bCs/>
          <w:sz w:val="30"/>
          <w:szCs w:val="30"/>
        </w:rPr>
        <w:t>确定</w:t>
      </w:r>
      <w:bookmarkEnd w:id="304"/>
      <w:bookmarkEnd w:id="305"/>
      <w:r>
        <w:rPr>
          <w:rFonts w:hint="eastAsia" w:ascii="宋体" w:hAnsi="宋体"/>
          <w:bCs/>
          <w:sz w:val="30"/>
          <w:szCs w:val="30"/>
        </w:rPr>
        <w:t>成交单位</w:t>
      </w:r>
    </w:p>
    <w:p w14:paraId="0AEEB5B5">
      <w:pPr>
        <w:tabs>
          <w:tab w:val="left" w:pos="900"/>
        </w:tabs>
        <w:spacing w:line="360" w:lineRule="auto"/>
        <w:rPr>
          <w:rFonts w:ascii="宋体" w:hAnsi="宋体"/>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.1</w:t>
      </w:r>
      <w:r>
        <w:rPr>
          <w:rFonts w:hint="eastAsia" w:ascii="宋体" w:hAnsi="宋体"/>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C9E6E96">
      <w:pPr>
        <w:spacing w:line="360" w:lineRule="auto"/>
        <w:rPr>
          <w:rFonts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.2采购人从评审报告提出的成交候选供应商中，按照排序由高到低的原则确定成交供应商。采购人确定成交供应商后，</w:t>
      </w:r>
      <w:r>
        <w:rPr>
          <w:rFonts w:hint="eastAsia" w:ascii="宋体" w:hAnsi="宋体"/>
          <w:sz w:val="24"/>
          <w:szCs w:val="21"/>
        </w:rPr>
        <w:t>代理机构</w:t>
      </w:r>
      <w:r>
        <w:rPr>
          <w:rFonts w:hint="eastAsia" w:ascii="宋体" w:hAnsi="宋体"/>
          <w:bCs/>
          <w:sz w:val="24"/>
          <w:szCs w:val="21"/>
        </w:rPr>
        <w:t>将在</w:t>
      </w:r>
      <w:r>
        <w:rPr>
          <w:rFonts w:hint="eastAsia" w:ascii="宋体" w:hAnsi="宋体"/>
          <w:sz w:val="24"/>
          <w:szCs w:val="21"/>
        </w:rPr>
        <w:t>“江苏省政府采购网”、“常州市政府采购网”</w:t>
      </w:r>
      <w:r>
        <w:rPr>
          <w:rFonts w:hint="eastAsia" w:ascii="宋体" w:hAnsi="宋体"/>
          <w:bCs/>
          <w:sz w:val="24"/>
          <w:szCs w:val="21"/>
        </w:rPr>
        <w:t>发布成交结果公告，公告期限为1个工作日。</w:t>
      </w:r>
    </w:p>
    <w:p w14:paraId="3A7327B4">
      <w:pPr>
        <w:spacing w:line="360" w:lineRule="auto"/>
        <w:rPr>
          <w:rFonts w:ascii="宋体" w:hAnsi="宋体"/>
          <w:bCs/>
          <w:sz w:val="24"/>
          <w:szCs w:val="21"/>
        </w:rPr>
      </w:pPr>
      <w:r>
        <w:rPr>
          <w:rFonts w:hint="eastAsia" w:ascii="宋体" w:hAnsi="宋体"/>
          <w:bCs/>
          <w:sz w:val="24"/>
          <w:szCs w:val="21"/>
        </w:rPr>
        <w:t>28.3若有充分证据证明，成交供应商出现下列情况之一的，一经查实，将被取消成交资格：</w:t>
      </w:r>
    </w:p>
    <w:p w14:paraId="2EE37C68">
      <w:pPr>
        <w:spacing w:line="360" w:lineRule="auto"/>
        <w:rPr>
          <w:rFonts w:ascii="宋体" w:hAnsi="宋体"/>
          <w:bCs/>
          <w:sz w:val="24"/>
          <w:szCs w:val="21"/>
        </w:rPr>
      </w:pPr>
      <w:r>
        <w:rPr>
          <w:rFonts w:hint="eastAsia" w:ascii="宋体" w:hAnsi="宋体"/>
          <w:bCs/>
          <w:sz w:val="24"/>
          <w:szCs w:val="21"/>
        </w:rPr>
        <w:t>28.3.1提供虚假材料谋取成交的。</w:t>
      </w:r>
    </w:p>
    <w:p w14:paraId="13A8B3E4">
      <w:pPr>
        <w:spacing w:line="360" w:lineRule="auto"/>
        <w:rPr>
          <w:rFonts w:ascii="宋体" w:hAnsi="宋体"/>
          <w:bCs/>
          <w:sz w:val="24"/>
          <w:szCs w:val="21"/>
        </w:rPr>
      </w:pPr>
      <w:r>
        <w:rPr>
          <w:rFonts w:hint="eastAsia" w:ascii="宋体" w:hAnsi="宋体"/>
          <w:bCs/>
          <w:sz w:val="24"/>
          <w:szCs w:val="21"/>
        </w:rPr>
        <w:t>28.3.2与评审专家、采购人、其他供应商或者</w:t>
      </w:r>
      <w:r>
        <w:rPr>
          <w:rFonts w:hint="eastAsia" w:ascii="宋体" w:hAnsi="宋体"/>
          <w:sz w:val="24"/>
          <w:szCs w:val="21"/>
        </w:rPr>
        <w:t>代理机构</w:t>
      </w:r>
      <w:r>
        <w:rPr>
          <w:rFonts w:hint="eastAsia" w:ascii="宋体" w:hAnsi="宋体"/>
          <w:bCs/>
          <w:sz w:val="24"/>
          <w:szCs w:val="21"/>
        </w:rPr>
        <w:t>工作人员恶意串通的。</w:t>
      </w:r>
    </w:p>
    <w:p w14:paraId="34D168BC">
      <w:pPr>
        <w:spacing w:line="360" w:lineRule="auto"/>
        <w:rPr>
          <w:rFonts w:ascii="宋体" w:hAnsi="宋体"/>
          <w:bCs/>
          <w:sz w:val="24"/>
          <w:szCs w:val="21"/>
        </w:rPr>
      </w:pPr>
      <w:r>
        <w:rPr>
          <w:rFonts w:hint="eastAsia" w:ascii="宋体" w:hAnsi="宋体"/>
          <w:bCs/>
          <w:sz w:val="24"/>
          <w:szCs w:val="21"/>
        </w:rPr>
        <w:t>28.3.3向评审专家、采购人或</w:t>
      </w:r>
      <w:r>
        <w:rPr>
          <w:rFonts w:hint="eastAsia" w:ascii="宋体" w:hAnsi="宋体"/>
          <w:sz w:val="24"/>
          <w:szCs w:val="21"/>
        </w:rPr>
        <w:t>代理机构</w:t>
      </w:r>
      <w:r>
        <w:rPr>
          <w:rFonts w:hint="eastAsia" w:ascii="宋体" w:hAnsi="宋体"/>
          <w:bCs/>
          <w:sz w:val="24"/>
          <w:szCs w:val="21"/>
        </w:rPr>
        <w:t>工作人员行贿或者提供其他不正当利益的。</w:t>
      </w:r>
    </w:p>
    <w:p w14:paraId="54FF4BBA">
      <w:pPr>
        <w:spacing w:line="360" w:lineRule="auto"/>
        <w:rPr>
          <w:rFonts w:ascii="宋体" w:hAnsi="宋体"/>
          <w:bCs/>
          <w:sz w:val="24"/>
          <w:szCs w:val="21"/>
        </w:rPr>
      </w:pPr>
      <w:r>
        <w:rPr>
          <w:rFonts w:hint="eastAsia" w:ascii="宋体" w:hAnsi="宋体"/>
          <w:bCs/>
          <w:sz w:val="24"/>
          <w:szCs w:val="21"/>
        </w:rPr>
        <w:t>28.3.</w:t>
      </w:r>
      <w:r>
        <w:rPr>
          <w:rFonts w:ascii="宋体" w:hAnsi="宋体"/>
          <w:bCs/>
          <w:sz w:val="24"/>
          <w:szCs w:val="21"/>
        </w:rPr>
        <w:t>4</w:t>
      </w:r>
      <w:r>
        <w:rPr>
          <w:rFonts w:hint="eastAsia" w:ascii="宋体" w:hAnsi="宋体"/>
          <w:bCs/>
          <w:sz w:val="24"/>
          <w:szCs w:val="21"/>
        </w:rPr>
        <w:t>不满足本磋商文件规定的实质性要求，但在评审过程中又未被磋商小组发现的。</w:t>
      </w:r>
    </w:p>
    <w:p w14:paraId="104BA4F1">
      <w:pPr>
        <w:spacing w:line="360" w:lineRule="auto"/>
        <w:rPr>
          <w:rFonts w:ascii="宋体" w:hAnsi="宋体"/>
          <w:bCs/>
          <w:sz w:val="24"/>
          <w:szCs w:val="21"/>
        </w:rPr>
      </w:pPr>
      <w:r>
        <w:rPr>
          <w:rFonts w:hint="eastAsia" w:ascii="宋体" w:hAnsi="宋体"/>
          <w:bCs/>
          <w:sz w:val="24"/>
          <w:szCs w:val="21"/>
        </w:rPr>
        <w:t>28.3.</w:t>
      </w:r>
      <w:r>
        <w:rPr>
          <w:rFonts w:ascii="宋体" w:hAnsi="宋体"/>
          <w:bCs/>
          <w:sz w:val="24"/>
          <w:szCs w:val="21"/>
        </w:rPr>
        <w:t>5</w:t>
      </w:r>
      <w:r>
        <w:rPr>
          <w:rFonts w:hint="eastAsia" w:ascii="宋体" w:hAnsi="宋体"/>
          <w:bCs/>
          <w:sz w:val="24"/>
          <w:szCs w:val="21"/>
        </w:rPr>
        <w:t>成交后无正当理由拒不与采购人签订政府采购合同或者未按照磋商文件确定的事项签订政府采购合同的。</w:t>
      </w:r>
    </w:p>
    <w:p w14:paraId="055AB668">
      <w:pPr>
        <w:spacing w:line="360" w:lineRule="auto"/>
        <w:rPr>
          <w:rFonts w:ascii="宋体" w:hAnsi="宋体"/>
          <w:bCs/>
          <w:sz w:val="24"/>
          <w:szCs w:val="21"/>
        </w:rPr>
      </w:pPr>
      <w:r>
        <w:rPr>
          <w:rFonts w:hint="eastAsia" w:ascii="宋体" w:hAnsi="宋体"/>
          <w:bCs/>
          <w:sz w:val="24"/>
          <w:szCs w:val="21"/>
        </w:rPr>
        <w:t>28.3.</w:t>
      </w:r>
      <w:r>
        <w:rPr>
          <w:rFonts w:ascii="宋体" w:hAnsi="宋体"/>
          <w:bCs/>
          <w:sz w:val="24"/>
          <w:szCs w:val="21"/>
        </w:rPr>
        <w:t>6</w:t>
      </w:r>
      <w:r>
        <w:rPr>
          <w:rFonts w:hint="eastAsia" w:ascii="宋体" w:hAnsi="宋体"/>
          <w:bCs/>
          <w:sz w:val="24"/>
          <w:szCs w:val="21"/>
        </w:rPr>
        <w:t>将政府采购合同转包的。</w:t>
      </w:r>
    </w:p>
    <w:p w14:paraId="176B48F2">
      <w:pPr>
        <w:keepNext/>
        <w:keepLines/>
        <w:spacing w:line="360" w:lineRule="auto"/>
        <w:outlineLvl w:val="3"/>
        <w:rPr>
          <w:rFonts w:ascii="宋体" w:hAnsi="宋体"/>
          <w:bCs/>
          <w:sz w:val="30"/>
          <w:szCs w:val="30"/>
        </w:rPr>
      </w:pPr>
      <w:bookmarkStart w:id="306" w:name="_Toc200451960"/>
      <w:r>
        <w:rPr>
          <w:rFonts w:ascii="宋体" w:hAnsi="宋体"/>
          <w:bCs/>
          <w:sz w:val="30"/>
          <w:szCs w:val="30"/>
        </w:rPr>
        <w:t>29</w:t>
      </w:r>
      <w:r>
        <w:rPr>
          <w:rFonts w:hint="eastAsia" w:ascii="宋体" w:hAnsi="宋体"/>
          <w:bCs/>
          <w:sz w:val="30"/>
          <w:szCs w:val="30"/>
        </w:rPr>
        <w:t>、质疑处理</w:t>
      </w:r>
      <w:bookmarkEnd w:id="306"/>
    </w:p>
    <w:p w14:paraId="473555D6">
      <w:pPr>
        <w:spacing w:line="360" w:lineRule="auto"/>
        <w:rPr>
          <w:rFonts w:ascii="宋体" w:hAnsi="宋体"/>
          <w:sz w:val="24"/>
        </w:rPr>
      </w:pPr>
      <w:r>
        <w:rPr>
          <w:rFonts w:ascii="宋体" w:hAnsi="宋体"/>
          <w:sz w:val="24"/>
        </w:rPr>
        <w:t>29</w:t>
      </w:r>
      <w:r>
        <w:rPr>
          <w:rFonts w:hint="eastAsia" w:ascii="宋体" w:hAnsi="宋体"/>
          <w:sz w:val="24"/>
        </w:rPr>
        <w:t>.1 提出质疑的供应商应当是参与所质疑项目采购活动的供应商。潜在供应商依法获取其可质疑的采购文件的，可以对采购文件提出质疑。</w:t>
      </w:r>
    </w:p>
    <w:p w14:paraId="4040A060">
      <w:pPr>
        <w:spacing w:line="360" w:lineRule="auto"/>
        <w:rPr>
          <w:rFonts w:ascii="宋体" w:hAnsi="宋体"/>
          <w:sz w:val="24"/>
        </w:rPr>
      </w:pPr>
      <w:r>
        <w:rPr>
          <w:rFonts w:ascii="宋体" w:hAnsi="宋体"/>
          <w:sz w:val="24"/>
        </w:rPr>
        <w:t>29</w:t>
      </w:r>
      <w:r>
        <w:rPr>
          <w:rFonts w:hint="eastAsia" w:ascii="宋体" w:hAnsi="宋体"/>
          <w:sz w:val="24"/>
        </w:rPr>
        <w:t>.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3EEF0C02">
      <w:pPr>
        <w:spacing w:line="360" w:lineRule="auto"/>
        <w:rPr>
          <w:rFonts w:ascii="宋体" w:hAnsi="宋体" w:cs="宋体"/>
          <w:sz w:val="24"/>
        </w:rPr>
      </w:pPr>
      <w:r>
        <w:rPr>
          <w:rFonts w:ascii="宋体" w:hAnsi="宋体"/>
          <w:sz w:val="24"/>
        </w:rPr>
        <w:t>29</w:t>
      </w:r>
      <w:r>
        <w:rPr>
          <w:rFonts w:hint="eastAsia" w:ascii="宋体" w:hAnsi="宋体"/>
          <w:sz w:val="24"/>
        </w:rPr>
        <w:t>.2.1</w:t>
      </w:r>
      <w:r>
        <w:rPr>
          <w:rFonts w:ascii="宋体" w:hAnsi="宋体" w:cs="宋体"/>
          <w:sz w:val="24"/>
        </w:rPr>
        <w:t>对可以质疑的采购文件提出质疑的，为收到采购文件之日或者采购文件公告期限届满之日</w:t>
      </w:r>
      <w:r>
        <w:rPr>
          <w:rFonts w:hint="eastAsia" w:ascii="宋体" w:hAnsi="宋体" w:cs="宋体"/>
          <w:sz w:val="24"/>
        </w:rPr>
        <w:t>。</w:t>
      </w:r>
      <w:r>
        <w:rPr>
          <w:rFonts w:ascii="宋体" w:hAnsi="宋体" w:cs="宋体"/>
          <w:sz w:val="24"/>
        </w:rPr>
        <w:br w:type="textWrapping"/>
      </w:r>
      <w:r>
        <w:rPr>
          <w:rFonts w:ascii="宋体" w:hAnsi="宋体"/>
          <w:sz w:val="24"/>
        </w:rPr>
        <w:t>29</w:t>
      </w:r>
      <w:r>
        <w:rPr>
          <w:rFonts w:hint="eastAsia" w:ascii="宋体" w:hAnsi="宋体"/>
          <w:sz w:val="24"/>
        </w:rPr>
        <w:t>.2.2</w:t>
      </w:r>
      <w:r>
        <w:rPr>
          <w:rFonts w:ascii="宋体" w:hAnsi="宋体" w:cs="宋体"/>
          <w:sz w:val="24"/>
        </w:rPr>
        <w:t>对采购过程提出质疑的，为各采购程序环节结束之日</w:t>
      </w:r>
      <w:r>
        <w:rPr>
          <w:rFonts w:hint="eastAsia" w:ascii="宋体" w:hAnsi="宋体" w:cs="宋体"/>
          <w:sz w:val="24"/>
        </w:rPr>
        <w:t>。</w:t>
      </w:r>
      <w:r>
        <w:rPr>
          <w:rFonts w:ascii="宋体" w:hAnsi="宋体" w:cs="宋体"/>
          <w:sz w:val="24"/>
        </w:rPr>
        <w:br w:type="textWrapping"/>
      </w:r>
      <w:r>
        <w:rPr>
          <w:rFonts w:ascii="宋体" w:hAnsi="宋体"/>
          <w:sz w:val="24"/>
        </w:rPr>
        <w:t>29</w:t>
      </w:r>
      <w:r>
        <w:rPr>
          <w:rFonts w:hint="eastAsia" w:ascii="宋体" w:hAnsi="宋体"/>
          <w:sz w:val="24"/>
        </w:rPr>
        <w:t>.2.3</w:t>
      </w:r>
      <w:r>
        <w:rPr>
          <w:rFonts w:ascii="宋体" w:hAnsi="宋体" w:cs="宋体"/>
          <w:sz w:val="24"/>
        </w:rPr>
        <w:t>对成交结果提出质疑的，为成交结果公告期限届满之日。</w:t>
      </w:r>
    </w:p>
    <w:p w14:paraId="6ECFA714">
      <w:pPr>
        <w:spacing w:line="360" w:lineRule="auto"/>
        <w:rPr>
          <w:rFonts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w:t>
      </w:r>
      <w:r>
        <w:rPr>
          <w:rFonts w:hint="eastAsia" w:ascii="宋体" w:hAnsi="宋体"/>
          <w:sz w:val="24"/>
          <w:szCs w:val="21"/>
        </w:rPr>
        <w:t>代理机构</w:t>
      </w:r>
      <w:r>
        <w:rPr>
          <w:rFonts w:hint="eastAsia" w:ascii="宋体" w:hAnsi="宋体" w:cs="宋体"/>
          <w:sz w:val="24"/>
        </w:rPr>
        <w:t>、</w:t>
      </w:r>
      <w:r>
        <w:rPr>
          <w:rFonts w:ascii="宋体" w:hAnsi="宋体" w:cs="宋体"/>
          <w:sz w:val="24"/>
        </w:rPr>
        <w:t>采购人</w:t>
      </w:r>
      <w:r>
        <w:rPr>
          <w:rFonts w:hint="eastAsia" w:ascii="宋体" w:hAnsi="宋体" w:cs="宋体"/>
          <w:sz w:val="24"/>
        </w:rPr>
        <w:t>将只对供应商第一次质疑作出答复。</w:t>
      </w:r>
    </w:p>
    <w:p w14:paraId="515E59CC">
      <w:pPr>
        <w:spacing w:line="360" w:lineRule="auto"/>
        <w:rPr>
          <w:rFonts w:ascii="宋体" w:hAnsi="宋体"/>
          <w:sz w:val="24"/>
        </w:rPr>
      </w:pPr>
      <w:r>
        <w:rPr>
          <w:rFonts w:ascii="宋体" w:hAnsi="宋体"/>
          <w:sz w:val="24"/>
        </w:rPr>
        <w:t>29</w:t>
      </w:r>
      <w:r>
        <w:rPr>
          <w:rFonts w:hint="eastAsia" w:ascii="宋体" w:hAnsi="宋体"/>
          <w:sz w:val="24"/>
        </w:rPr>
        <w:t>.3质疑函必须按照财政部《质疑函范本》要求的格式和内容进行填写。供应商如组成联合体参加磋商，则《质疑函范本》中要求签字、盖章、加盖公章之处，联合体各方均须按要求签字、盖章、加盖公章。</w:t>
      </w:r>
    </w:p>
    <w:p w14:paraId="7397AA99">
      <w:pPr>
        <w:spacing w:line="360" w:lineRule="auto"/>
        <w:rPr>
          <w:rFonts w:ascii="宋体" w:hAnsi="宋体"/>
          <w:sz w:val="24"/>
        </w:rPr>
      </w:pPr>
      <w:r>
        <w:rPr>
          <w:rFonts w:ascii="宋体" w:hAnsi="宋体"/>
          <w:sz w:val="24"/>
        </w:rPr>
        <w:t>29</w:t>
      </w:r>
      <w:r>
        <w:rPr>
          <w:rFonts w:hint="eastAsia" w:ascii="宋体" w:hAnsi="宋体"/>
          <w:sz w:val="24"/>
        </w:rPr>
        <w:t>.4 供应商（含</w:t>
      </w:r>
      <w:r>
        <w:rPr>
          <w:rFonts w:ascii="宋体" w:hAnsi="宋体"/>
          <w:sz w:val="24"/>
        </w:rPr>
        <w:t>潜在供应商</w:t>
      </w:r>
      <w:r>
        <w:rPr>
          <w:rFonts w:hint="eastAsia" w:ascii="宋体" w:hAnsi="宋体"/>
          <w:sz w:val="24"/>
        </w:rPr>
        <w:t>）对</w:t>
      </w:r>
      <w:r>
        <w:rPr>
          <w:rFonts w:ascii="宋体" w:hAnsi="宋体"/>
          <w:sz w:val="24"/>
        </w:rPr>
        <w:t>采购方式、</w:t>
      </w:r>
      <w:r>
        <w:rPr>
          <w:rFonts w:hint="eastAsia" w:ascii="宋体" w:hAnsi="宋体"/>
          <w:sz w:val="24"/>
        </w:rPr>
        <w:t>采购</w:t>
      </w:r>
      <w:r>
        <w:rPr>
          <w:rFonts w:ascii="宋体" w:hAnsi="宋体"/>
          <w:sz w:val="24"/>
        </w:rPr>
        <w:t>需求、</w:t>
      </w:r>
      <w:r>
        <w:rPr>
          <w:rFonts w:hint="eastAsia" w:ascii="宋体" w:hAnsi="宋体"/>
          <w:sz w:val="24"/>
        </w:rPr>
        <w:t>供应商</w:t>
      </w:r>
      <w:r>
        <w:rPr>
          <w:rFonts w:ascii="宋体" w:hAnsi="宋体"/>
          <w:sz w:val="24"/>
        </w:rPr>
        <w:t>资格条件、</w:t>
      </w:r>
      <w:r>
        <w:rPr>
          <w:rFonts w:hint="eastAsia" w:ascii="宋体" w:hAnsi="宋体"/>
          <w:sz w:val="24"/>
        </w:rPr>
        <w:t>评审方法与评审标准</w:t>
      </w:r>
      <w:r>
        <w:rPr>
          <w:rFonts w:ascii="宋体" w:hAnsi="宋体"/>
          <w:sz w:val="24"/>
        </w:rPr>
        <w:t>、合同文本</w:t>
      </w:r>
      <w:r>
        <w:rPr>
          <w:rFonts w:hint="eastAsia" w:ascii="宋体" w:hAnsi="宋体"/>
          <w:sz w:val="24"/>
        </w:rPr>
        <w:t>的</w:t>
      </w:r>
      <w:r>
        <w:rPr>
          <w:rFonts w:ascii="宋体" w:hAnsi="宋体"/>
          <w:sz w:val="24"/>
        </w:rPr>
        <w:t>询问</w:t>
      </w:r>
      <w:r>
        <w:rPr>
          <w:rFonts w:hint="eastAsia" w:ascii="宋体" w:hAnsi="宋体"/>
          <w:sz w:val="24"/>
        </w:rPr>
        <w:t>、质疑</w:t>
      </w:r>
      <w:r>
        <w:rPr>
          <w:rFonts w:ascii="宋体" w:hAnsi="宋体"/>
          <w:sz w:val="24"/>
        </w:rPr>
        <w:t>请向采购人提出，由采购人负责答复。</w:t>
      </w:r>
      <w:r>
        <w:rPr>
          <w:rFonts w:hint="eastAsia" w:ascii="宋体" w:hAnsi="宋体"/>
          <w:sz w:val="24"/>
        </w:rPr>
        <w:t>供应商对</w:t>
      </w:r>
      <w:r>
        <w:rPr>
          <w:rFonts w:ascii="宋体" w:hAnsi="宋体"/>
          <w:sz w:val="24"/>
        </w:rPr>
        <w:t>其他事项</w:t>
      </w:r>
      <w:r>
        <w:rPr>
          <w:rFonts w:hint="eastAsia" w:ascii="宋体" w:hAnsi="宋体"/>
          <w:sz w:val="24"/>
        </w:rPr>
        <w:t>的询问</w:t>
      </w:r>
      <w:r>
        <w:rPr>
          <w:rFonts w:ascii="宋体" w:hAnsi="宋体"/>
          <w:sz w:val="24"/>
        </w:rPr>
        <w:t>、质疑请向</w:t>
      </w:r>
      <w:r>
        <w:rPr>
          <w:rFonts w:hint="eastAsia" w:ascii="宋体" w:hAnsi="宋体"/>
          <w:sz w:val="24"/>
          <w:szCs w:val="21"/>
        </w:rPr>
        <w:t>代理机构</w:t>
      </w:r>
      <w:r>
        <w:rPr>
          <w:rFonts w:ascii="宋体" w:hAnsi="宋体"/>
          <w:sz w:val="24"/>
        </w:rPr>
        <w:t>提出，由</w:t>
      </w:r>
      <w:r>
        <w:rPr>
          <w:rFonts w:hint="eastAsia" w:ascii="宋体" w:hAnsi="宋体"/>
          <w:sz w:val="24"/>
        </w:rPr>
        <w:t>代理机构负责</w:t>
      </w:r>
      <w:r>
        <w:rPr>
          <w:rFonts w:ascii="宋体" w:hAnsi="宋体"/>
          <w:sz w:val="24"/>
        </w:rPr>
        <w:t>答复。</w:t>
      </w:r>
    </w:p>
    <w:p w14:paraId="26710B17">
      <w:pPr>
        <w:spacing w:line="360" w:lineRule="auto"/>
        <w:rPr>
          <w:rFonts w:ascii="宋体" w:hAnsi="宋体"/>
          <w:sz w:val="24"/>
        </w:rPr>
      </w:pPr>
      <w:r>
        <w:rPr>
          <w:rFonts w:hint="eastAsia" w:ascii="宋体" w:hAnsi="宋体"/>
          <w:sz w:val="24"/>
        </w:rPr>
        <w:t>采购人及代理机构只接收以纸质原件形式送达的质疑,建议供应商尽量通过邮寄方式提交质疑（采购人和代理机构不接受未填写快递运单的快件）。</w:t>
      </w:r>
    </w:p>
    <w:p w14:paraId="17BA6435">
      <w:pPr>
        <w:spacing w:line="360" w:lineRule="auto"/>
        <w:rPr>
          <w:rFonts w:ascii="宋体" w:hAnsi="宋体"/>
          <w:sz w:val="24"/>
        </w:rPr>
      </w:pPr>
      <w:r>
        <w:rPr>
          <w:rFonts w:hint="eastAsia" w:ascii="宋体" w:hAnsi="宋体"/>
          <w:sz w:val="24"/>
        </w:rPr>
        <w:t>采购人及代理机构只接收以纸质原件形式送达的质疑,建议供应商尽量通过现场递交或邮寄方式提交质疑（采购人和代理机构不接受未填写快递运单的快件）。</w:t>
      </w:r>
    </w:p>
    <w:p w14:paraId="04233EB8">
      <w:pPr>
        <w:spacing w:line="360" w:lineRule="auto"/>
        <w:jc w:val="left"/>
        <w:rPr>
          <w:rFonts w:ascii="宋体" w:hAnsi="宋体"/>
          <w:sz w:val="24"/>
        </w:rPr>
      </w:pPr>
      <w:r>
        <w:rPr>
          <w:rFonts w:hint="eastAsia" w:ascii="宋体" w:hAnsi="宋体"/>
          <w:sz w:val="24"/>
        </w:rPr>
        <w:t>代理机构质疑接收部门为：综合办公室</w:t>
      </w:r>
    </w:p>
    <w:p w14:paraId="049DF5A8">
      <w:pPr>
        <w:spacing w:line="360" w:lineRule="auto"/>
        <w:jc w:val="left"/>
        <w:rPr>
          <w:rFonts w:ascii="宋体" w:hAnsi="宋体"/>
          <w:sz w:val="24"/>
          <w:highlight w:val="none"/>
        </w:rPr>
      </w:pPr>
      <w:r>
        <w:rPr>
          <w:rFonts w:hint="eastAsia" w:ascii="宋体" w:hAnsi="宋体"/>
          <w:sz w:val="24"/>
        </w:rPr>
        <w:t>联系地</w:t>
      </w:r>
      <w:r>
        <w:rPr>
          <w:rFonts w:hint="eastAsia" w:ascii="宋体" w:hAnsi="宋体"/>
          <w:sz w:val="24"/>
          <w:highlight w:val="none"/>
        </w:rPr>
        <w:t>址</w:t>
      </w:r>
      <w:r>
        <w:rPr>
          <w:rFonts w:ascii="宋体" w:hAnsi="宋体"/>
          <w:sz w:val="24"/>
          <w:highlight w:val="none"/>
        </w:rPr>
        <w:t>：</w:t>
      </w:r>
      <w:bookmarkStart w:id="307" w:name="_Hlk152666220"/>
      <w:r>
        <w:rPr>
          <w:rFonts w:ascii="宋体" w:hAnsi="宋体"/>
          <w:sz w:val="24"/>
          <w:highlight w:val="none"/>
          <w:u w:val="single"/>
        </w:rPr>
        <w:t>常州</w:t>
      </w:r>
      <w:r>
        <w:rPr>
          <w:rFonts w:hint="eastAsia" w:ascii="宋体" w:hAnsi="宋体"/>
          <w:sz w:val="24"/>
          <w:highlight w:val="none"/>
          <w:u w:val="single"/>
          <w:lang w:eastAsia="zh-CN"/>
        </w:rPr>
        <w:t>科教城530大道西50米</w:t>
      </w:r>
      <w:r>
        <w:rPr>
          <w:rFonts w:ascii="宋体" w:hAnsi="宋体"/>
          <w:sz w:val="24"/>
          <w:highlight w:val="none"/>
        </w:rPr>
        <w:t>；</w:t>
      </w:r>
      <w:bookmarkEnd w:id="307"/>
    </w:p>
    <w:p w14:paraId="5A44729E">
      <w:pPr>
        <w:spacing w:line="360" w:lineRule="auto"/>
        <w:jc w:val="left"/>
        <w:rPr>
          <w:rFonts w:ascii="宋体" w:hAnsi="宋体"/>
          <w:sz w:val="24"/>
        </w:rPr>
      </w:pPr>
      <w:r>
        <w:rPr>
          <w:rFonts w:ascii="宋体" w:hAnsi="宋体"/>
          <w:sz w:val="24"/>
        </w:rPr>
        <w:t>联系电话：</w:t>
      </w:r>
      <w:r>
        <w:rPr>
          <w:rFonts w:hint="eastAsia" w:ascii="宋体" w:hAnsi="宋体"/>
          <w:sz w:val="24"/>
          <w:u w:val="single"/>
          <w:lang w:val="en-US" w:eastAsia="zh-CN"/>
        </w:rPr>
        <w:t>18961218997</w:t>
      </w:r>
      <w:r>
        <w:rPr>
          <w:rFonts w:ascii="宋体" w:hAnsi="宋体"/>
          <w:sz w:val="24"/>
        </w:rPr>
        <w:t>；</w:t>
      </w:r>
    </w:p>
    <w:p w14:paraId="78F7433E">
      <w:pPr>
        <w:spacing w:line="360" w:lineRule="auto"/>
        <w:rPr>
          <w:rFonts w:ascii="宋体" w:hAnsi="宋体"/>
          <w:sz w:val="24"/>
        </w:rPr>
      </w:pPr>
      <w:r>
        <w:rPr>
          <w:rFonts w:ascii="宋体" w:hAnsi="宋体"/>
          <w:sz w:val="24"/>
        </w:rPr>
        <w:t>29</w:t>
      </w:r>
      <w:r>
        <w:rPr>
          <w:rFonts w:hint="eastAsia" w:ascii="宋体" w:hAnsi="宋体"/>
          <w:sz w:val="24"/>
        </w:rPr>
        <w:t>.5 以下情形的质疑不予受理</w:t>
      </w:r>
    </w:p>
    <w:p w14:paraId="60766FD2">
      <w:pPr>
        <w:spacing w:line="360" w:lineRule="auto"/>
        <w:rPr>
          <w:rFonts w:ascii="宋体" w:hAnsi="宋体"/>
          <w:sz w:val="24"/>
        </w:rPr>
      </w:pPr>
      <w:r>
        <w:rPr>
          <w:rFonts w:ascii="宋体" w:hAnsi="宋体"/>
          <w:sz w:val="24"/>
        </w:rPr>
        <w:t>29</w:t>
      </w:r>
      <w:r>
        <w:rPr>
          <w:rFonts w:hint="eastAsia" w:ascii="宋体" w:hAnsi="宋体"/>
          <w:sz w:val="24"/>
        </w:rPr>
        <w:t>.5.1 内容不符合《政府采购质疑和投诉办法》第十二条规定的质疑。</w:t>
      </w:r>
    </w:p>
    <w:p w14:paraId="2387A212">
      <w:pPr>
        <w:spacing w:line="360" w:lineRule="auto"/>
        <w:rPr>
          <w:rFonts w:ascii="宋体" w:hAnsi="宋体"/>
          <w:sz w:val="24"/>
        </w:rPr>
      </w:pPr>
      <w:r>
        <w:rPr>
          <w:rFonts w:ascii="宋体" w:hAnsi="宋体"/>
          <w:sz w:val="24"/>
        </w:rPr>
        <w:t>29</w:t>
      </w:r>
      <w:r>
        <w:rPr>
          <w:rFonts w:hint="eastAsia" w:ascii="宋体" w:hAnsi="宋体"/>
          <w:sz w:val="24"/>
        </w:rPr>
        <w:t>.5.2 超出政府采购法定期限的质疑。</w:t>
      </w:r>
    </w:p>
    <w:p w14:paraId="2E2E528F">
      <w:pPr>
        <w:spacing w:line="360" w:lineRule="auto"/>
        <w:rPr>
          <w:rFonts w:ascii="宋体" w:hAnsi="宋体"/>
          <w:sz w:val="24"/>
        </w:rPr>
      </w:pPr>
      <w:r>
        <w:rPr>
          <w:rFonts w:ascii="宋体" w:hAnsi="宋体"/>
          <w:sz w:val="24"/>
        </w:rPr>
        <w:t>29</w:t>
      </w:r>
      <w:r>
        <w:rPr>
          <w:rFonts w:hint="eastAsia" w:ascii="宋体" w:hAnsi="宋体"/>
          <w:sz w:val="24"/>
        </w:rPr>
        <w:t>.5.3 以传真、电子邮件等方式递交的非原件形式的质疑。</w:t>
      </w:r>
    </w:p>
    <w:p w14:paraId="5DC261D9">
      <w:pPr>
        <w:spacing w:line="360" w:lineRule="auto"/>
        <w:rPr>
          <w:rFonts w:ascii="宋体" w:hAnsi="宋体"/>
          <w:sz w:val="24"/>
        </w:rPr>
      </w:pPr>
      <w:r>
        <w:rPr>
          <w:rFonts w:ascii="宋体" w:hAnsi="宋体"/>
          <w:sz w:val="24"/>
        </w:rPr>
        <w:t>29</w:t>
      </w:r>
      <w:r>
        <w:rPr>
          <w:rFonts w:hint="eastAsia" w:ascii="宋体" w:hAnsi="宋体"/>
          <w:sz w:val="24"/>
        </w:rPr>
        <w:t>.5.4 未参加磋商活动的供应商或在磋商活动中自身权益未受到损害的供应商所提出的质疑。</w:t>
      </w:r>
    </w:p>
    <w:p w14:paraId="3DCD9E02">
      <w:pPr>
        <w:spacing w:line="360" w:lineRule="auto"/>
        <w:rPr>
          <w:rFonts w:ascii="宋体" w:hAnsi="宋体"/>
          <w:sz w:val="24"/>
        </w:rPr>
      </w:pPr>
      <w:r>
        <w:rPr>
          <w:rFonts w:ascii="宋体" w:hAnsi="宋体"/>
          <w:sz w:val="24"/>
        </w:rPr>
        <w:t>29</w:t>
      </w:r>
      <w:r>
        <w:rPr>
          <w:rFonts w:hint="eastAsia" w:ascii="宋体" w:hAnsi="宋体"/>
          <w:sz w:val="24"/>
        </w:rPr>
        <w:t>.5.5供应商组成联合体参加磋商，联合体中任何一方或多方未按要求签字、盖章、加盖公章的质疑。</w:t>
      </w:r>
    </w:p>
    <w:p w14:paraId="30A1B184">
      <w:pPr>
        <w:spacing w:line="360" w:lineRule="auto"/>
        <w:rPr>
          <w:rFonts w:ascii="宋体" w:hAnsi="宋体"/>
          <w:sz w:val="24"/>
        </w:rPr>
      </w:pPr>
      <w:r>
        <w:rPr>
          <w:rFonts w:ascii="宋体" w:hAnsi="宋体"/>
          <w:sz w:val="24"/>
        </w:rPr>
        <w:t>29</w:t>
      </w:r>
      <w:r>
        <w:rPr>
          <w:rFonts w:hint="eastAsia" w:ascii="宋体" w:hAnsi="宋体"/>
          <w:sz w:val="24"/>
        </w:rPr>
        <w:t>.6  供应商提出书面质疑必须有理、有据，不得捏造事实、提供虚假材料进行恶意质疑。否则，一经查实，</w:t>
      </w:r>
      <w:r>
        <w:rPr>
          <w:rFonts w:hint="eastAsia" w:ascii="宋体" w:hAnsi="宋体"/>
          <w:sz w:val="24"/>
          <w:szCs w:val="21"/>
        </w:rPr>
        <w:t>代理机构</w:t>
      </w:r>
      <w:r>
        <w:rPr>
          <w:rFonts w:hint="eastAsia" w:ascii="宋体" w:hAnsi="宋体"/>
          <w:sz w:val="24"/>
        </w:rPr>
        <w:t>有权依据政府采购的有关规定，报请政府采购监管部门对该供应商进行相应的行政处罚和记录该供应商的失信信息。</w:t>
      </w:r>
    </w:p>
    <w:p w14:paraId="597D9C43">
      <w:pPr>
        <w:keepNext/>
        <w:keepLines/>
        <w:spacing w:line="360" w:lineRule="auto"/>
        <w:outlineLvl w:val="3"/>
        <w:rPr>
          <w:rFonts w:ascii="宋体" w:hAnsi="宋体"/>
          <w:bCs/>
          <w:sz w:val="30"/>
          <w:szCs w:val="30"/>
        </w:rPr>
      </w:pPr>
      <w:r>
        <w:rPr>
          <w:rFonts w:hint="eastAsia" w:ascii="宋体" w:hAnsi="宋体"/>
          <w:bCs/>
          <w:sz w:val="30"/>
          <w:szCs w:val="30"/>
        </w:rPr>
        <w:t>3</w:t>
      </w:r>
      <w:r>
        <w:rPr>
          <w:rFonts w:ascii="宋体" w:hAnsi="宋体"/>
          <w:bCs/>
          <w:sz w:val="30"/>
          <w:szCs w:val="30"/>
        </w:rPr>
        <w:t>0</w:t>
      </w:r>
      <w:r>
        <w:rPr>
          <w:rFonts w:hint="eastAsia" w:ascii="宋体" w:hAnsi="宋体"/>
          <w:bCs/>
          <w:sz w:val="30"/>
          <w:szCs w:val="30"/>
        </w:rPr>
        <w:t>、成交通知书</w:t>
      </w:r>
    </w:p>
    <w:p w14:paraId="3D705E93">
      <w:pPr>
        <w:spacing w:line="360" w:lineRule="auto"/>
        <w:rPr>
          <w:rFonts w:ascii="宋体" w:hAnsi="宋体"/>
          <w:sz w:val="24"/>
        </w:rPr>
      </w:pPr>
      <w:r>
        <w:rPr>
          <w:rFonts w:ascii="宋体" w:hAnsi="宋体"/>
          <w:sz w:val="24"/>
        </w:rPr>
        <w:t>3</w:t>
      </w:r>
      <w:r>
        <w:rPr>
          <w:rFonts w:hint="eastAsia" w:ascii="宋体" w:hAnsi="宋体"/>
          <w:sz w:val="24"/>
        </w:rPr>
        <w:t>0</w:t>
      </w:r>
      <w:r>
        <w:rPr>
          <w:rFonts w:ascii="宋体" w:hAnsi="宋体"/>
          <w:sz w:val="24"/>
        </w:rPr>
        <w:t>.1</w:t>
      </w:r>
      <w:r>
        <w:rPr>
          <w:rFonts w:hint="eastAsia" w:ascii="宋体" w:hAnsi="宋体"/>
          <w:sz w:val="24"/>
        </w:rPr>
        <w:t>成交结果确定后，代理机构将向成交供应商发出成交通知书。</w:t>
      </w:r>
    </w:p>
    <w:p w14:paraId="285ECDCC">
      <w:pPr>
        <w:spacing w:line="360" w:lineRule="auto"/>
        <w:rPr>
          <w:rFonts w:ascii="宋体" w:hAnsi="宋体"/>
          <w:sz w:val="24"/>
        </w:rPr>
      </w:pPr>
      <w:r>
        <w:rPr>
          <w:rFonts w:hint="eastAsia" w:ascii="宋体" w:hAnsi="宋体"/>
          <w:sz w:val="24"/>
        </w:rPr>
        <w:t>3</w:t>
      </w:r>
      <w:r>
        <w:rPr>
          <w:rFonts w:ascii="宋体" w:hAnsi="宋体"/>
          <w:sz w:val="24"/>
        </w:rPr>
        <w:t>0</w:t>
      </w:r>
      <w:r>
        <w:rPr>
          <w:rFonts w:hint="eastAsia" w:ascii="宋体" w:hAnsi="宋体"/>
          <w:sz w:val="24"/>
        </w:rPr>
        <w:t>.2成交通知书将是合同的一个组成部分。对采购人和成交供应商均具有法律效力。成交通知书发出后，采购人改变成交结果的，或者成交供应商放弃成交项目的，应当依法承担法律责任。</w:t>
      </w:r>
    </w:p>
    <w:p w14:paraId="611195D8">
      <w:pPr>
        <w:keepNext/>
        <w:keepLines/>
        <w:spacing w:line="360" w:lineRule="auto"/>
        <w:outlineLvl w:val="2"/>
        <w:rPr>
          <w:rFonts w:ascii="宋体" w:hAnsi="宋体"/>
          <w:b/>
          <w:bCs/>
          <w:sz w:val="32"/>
          <w:szCs w:val="32"/>
        </w:rPr>
      </w:pPr>
      <w:bookmarkStart w:id="308" w:name="_Toc152678630"/>
      <w:bookmarkStart w:id="309" w:name="_Toc17792"/>
      <w:bookmarkStart w:id="310" w:name="_Toc120614220"/>
      <w:bookmarkStart w:id="311" w:name="_Toc160609037"/>
      <w:bookmarkStart w:id="312" w:name="_Toc152678549"/>
      <w:bookmarkStart w:id="313" w:name="_Toc6134"/>
      <w:bookmarkStart w:id="314" w:name="_Toc16938552"/>
      <w:bookmarkStart w:id="315" w:name="_Toc513029236"/>
      <w:bookmarkStart w:id="316" w:name="_Toc20823308"/>
      <w:r>
        <w:rPr>
          <w:rFonts w:hint="eastAsia" w:ascii="宋体" w:hAnsi="宋体"/>
          <w:b/>
          <w:bCs/>
          <w:sz w:val="32"/>
          <w:szCs w:val="32"/>
        </w:rPr>
        <w:t>七、授予合同</w:t>
      </w:r>
      <w:bookmarkEnd w:id="308"/>
      <w:bookmarkEnd w:id="309"/>
      <w:bookmarkEnd w:id="310"/>
      <w:bookmarkEnd w:id="311"/>
      <w:bookmarkEnd w:id="312"/>
      <w:bookmarkEnd w:id="313"/>
    </w:p>
    <w:bookmarkEnd w:id="314"/>
    <w:bookmarkEnd w:id="315"/>
    <w:bookmarkEnd w:id="316"/>
    <w:p w14:paraId="094BA258">
      <w:pPr>
        <w:keepNext/>
        <w:keepLines/>
        <w:spacing w:line="360" w:lineRule="auto"/>
        <w:outlineLvl w:val="3"/>
        <w:rPr>
          <w:rFonts w:ascii="宋体" w:hAnsi="宋体"/>
          <w:bCs/>
          <w:sz w:val="30"/>
          <w:szCs w:val="30"/>
        </w:rPr>
      </w:pPr>
      <w:bookmarkStart w:id="317" w:name="_Toc16938553"/>
      <w:bookmarkStart w:id="318" w:name="_Toc20823309"/>
      <w:bookmarkStart w:id="319" w:name="_Toc513029237"/>
      <w:r>
        <w:rPr>
          <w:rFonts w:hint="eastAsia" w:ascii="宋体" w:hAnsi="宋体"/>
          <w:bCs/>
          <w:sz w:val="30"/>
          <w:szCs w:val="30"/>
        </w:rPr>
        <w:t>3</w:t>
      </w:r>
      <w:r>
        <w:rPr>
          <w:rFonts w:ascii="宋体" w:hAnsi="宋体"/>
          <w:bCs/>
          <w:sz w:val="30"/>
          <w:szCs w:val="30"/>
        </w:rPr>
        <w:t>1</w:t>
      </w:r>
      <w:r>
        <w:rPr>
          <w:rFonts w:hint="eastAsia" w:ascii="宋体" w:hAnsi="宋体"/>
          <w:bCs/>
          <w:sz w:val="30"/>
          <w:szCs w:val="30"/>
        </w:rPr>
        <w:t>. 签订合同</w:t>
      </w:r>
    </w:p>
    <w:p w14:paraId="534A7D4C">
      <w:pPr>
        <w:spacing w:line="360" w:lineRule="auto"/>
        <w:rPr>
          <w:rFonts w:ascii="宋体" w:hAnsi="宋体"/>
          <w:sz w:val="24"/>
        </w:rPr>
      </w:pPr>
      <w:r>
        <w:rPr>
          <w:rFonts w:hint="eastAsia" w:ascii="宋体" w:hAnsi="宋体"/>
          <w:bCs/>
          <w:sz w:val="24"/>
        </w:rPr>
        <w:t>3</w:t>
      </w:r>
      <w:r>
        <w:rPr>
          <w:rFonts w:ascii="宋体" w:hAnsi="宋体"/>
          <w:bCs/>
          <w:sz w:val="24"/>
        </w:rPr>
        <w:t>1</w:t>
      </w:r>
      <w:r>
        <w:rPr>
          <w:rFonts w:hint="eastAsia" w:ascii="宋体" w:hAnsi="宋体"/>
          <w:sz w:val="24"/>
        </w:rPr>
        <w:t>.l成交供应商应当在成交通知书发出之日起三十日内，按照磋商文件确定的事项与采购人签订政府采购合同。</w:t>
      </w:r>
    </w:p>
    <w:p w14:paraId="6BA46E7E">
      <w:pPr>
        <w:spacing w:line="360" w:lineRule="auto"/>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.2磋商文件、成交供应商的响应文件及磋商过程中有关澄清、承诺文件均应作为合同附件。</w:t>
      </w:r>
    </w:p>
    <w:p w14:paraId="0FE8BE4F">
      <w:pPr>
        <w:spacing w:line="360" w:lineRule="auto"/>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.3 签订合同后，</w:t>
      </w:r>
      <w:r>
        <w:rPr>
          <w:rFonts w:hint="eastAsia" w:ascii="宋体" w:hAnsi="宋体"/>
          <w:b/>
          <w:sz w:val="24"/>
          <w:u w:val="single"/>
        </w:rPr>
        <w:t>成交供应商不得将合同标的进行转包</w:t>
      </w:r>
      <w:r>
        <w:rPr>
          <w:rFonts w:hint="eastAsia" w:ascii="宋体" w:hAnsi="宋体"/>
          <w:b/>
          <w:sz w:val="24"/>
        </w:rPr>
        <w:t>。</w:t>
      </w:r>
      <w:r>
        <w:rPr>
          <w:rFonts w:hint="eastAsia" w:ascii="宋体" w:hAnsi="宋体"/>
          <w:sz w:val="24"/>
        </w:rPr>
        <w:t>未经采购人同意，成交供应商也不得采用分包形式履行合同,否则采购人有权终止合同。转包或分包造成采购人损失的，成交供应商应承担相应赔偿责任。</w:t>
      </w:r>
    </w:p>
    <w:p w14:paraId="6E50FA48">
      <w:pPr>
        <w:keepNext/>
        <w:keepLines/>
        <w:spacing w:line="360" w:lineRule="auto"/>
        <w:outlineLvl w:val="3"/>
        <w:rPr>
          <w:rFonts w:ascii="宋体" w:hAnsi="宋体"/>
          <w:bCs/>
          <w:sz w:val="30"/>
          <w:szCs w:val="30"/>
        </w:rPr>
      </w:pPr>
      <w:r>
        <w:rPr>
          <w:rFonts w:hint="eastAsia" w:ascii="宋体" w:hAnsi="宋体"/>
          <w:bCs/>
          <w:sz w:val="30"/>
          <w:szCs w:val="30"/>
        </w:rPr>
        <w:t>3</w:t>
      </w:r>
      <w:r>
        <w:rPr>
          <w:rFonts w:ascii="宋体" w:hAnsi="宋体"/>
          <w:bCs/>
          <w:sz w:val="30"/>
          <w:szCs w:val="30"/>
        </w:rPr>
        <w:t>2</w:t>
      </w:r>
      <w:r>
        <w:rPr>
          <w:rFonts w:hint="eastAsia" w:ascii="宋体" w:hAnsi="宋体"/>
          <w:bCs/>
          <w:sz w:val="30"/>
          <w:szCs w:val="30"/>
        </w:rPr>
        <w:t>、标的物的追加</w:t>
      </w:r>
    </w:p>
    <w:p w14:paraId="120FBFE3">
      <w:pPr>
        <w:spacing w:line="360" w:lineRule="auto"/>
        <w:rPr>
          <w:rFonts w:ascii="宋体" w:hAnsi="宋体"/>
          <w:sz w:val="24"/>
        </w:rPr>
      </w:pPr>
      <w:r>
        <w:rPr>
          <w:rFonts w:hint="eastAsia" w:ascii="宋体" w:hAnsi="宋体"/>
          <w:sz w:val="24"/>
        </w:rPr>
        <w:t>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F5C2974">
      <w:pPr>
        <w:keepNext/>
        <w:keepLines/>
        <w:spacing w:line="500" w:lineRule="exact"/>
        <w:outlineLvl w:val="2"/>
        <w:rPr>
          <w:rFonts w:ascii="宋体" w:hAnsi="宋体"/>
          <w:b/>
          <w:bCs/>
          <w:sz w:val="32"/>
          <w:szCs w:val="32"/>
        </w:rPr>
      </w:pPr>
      <w:bookmarkStart w:id="320" w:name="_Toc32103"/>
      <w:bookmarkStart w:id="321" w:name="_Toc4973"/>
      <w:r>
        <w:rPr>
          <w:rFonts w:hint="eastAsia" w:ascii="宋体" w:hAnsi="宋体"/>
          <w:b/>
          <w:bCs/>
          <w:sz w:val="32"/>
          <w:szCs w:val="32"/>
        </w:rPr>
        <w:t>八、政府采购政策</w:t>
      </w:r>
      <w:bookmarkEnd w:id="320"/>
      <w:bookmarkEnd w:id="321"/>
    </w:p>
    <w:p w14:paraId="0B94E51C">
      <w:pPr>
        <w:keepNext/>
        <w:keepLines/>
        <w:spacing w:line="360" w:lineRule="auto"/>
        <w:outlineLvl w:val="3"/>
        <w:rPr>
          <w:rFonts w:ascii="宋体" w:hAnsi="宋体"/>
          <w:bCs/>
          <w:sz w:val="30"/>
          <w:szCs w:val="30"/>
        </w:rPr>
      </w:pPr>
      <w:r>
        <w:rPr>
          <w:rFonts w:hint="eastAsia" w:ascii="宋体" w:hAnsi="宋体"/>
          <w:bCs/>
          <w:sz w:val="30"/>
          <w:szCs w:val="30"/>
        </w:rPr>
        <w:t>3</w:t>
      </w:r>
      <w:r>
        <w:rPr>
          <w:rFonts w:ascii="宋体" w:hAnsi="宋体"/>
          <w:bCs/>
          <w:sz w:val="30"/>
          <w:szCs w:val="30"/>
        </w:rPr>
        <w:t>3</w:t>
      </w:r>
      <w:r>
        <w:rPr>
          <w:rFonts w:hint="eastAsia" w:ascii="宋体" w:hAnsi="宋体"/>
          <w:bCs/>
          <w:sz w:val="30"/>
          <w:szCs w:val="30"/>
        </w:rPr>
        <w:t>、</w:t>
      </w:r>
      <w:r>
        <w:rPr>
          <w:rFonts w:ascii="宋体" w:hAnsi="宋体"/>
          <w:bCs/>
          <w:sz w:val="30"/>
          <w:szCs w:val="30"/>
        </w:rPr>
        <w:t>进口产品</w:t>
      </w:r>
      <w:r>
        <w:rPr>
          <w:rFonts w:hint="eastAsia" w:ascii="宋体" w:hAnsi="宋体"/>
          <w:bCs/>
          <w:sz w:val="30"/>
          <w:szCs w:val="30"/>
        </w:rPr>
        <w:t>：</w:t>
      </w:r>
    </w:p>
    <w:p w14:paraId="6E363EC2">
      <w:pPr>
        <w:tabs>
          <w:tab w:val="left" w:pos="1080"/>
          <w:tab w:val="left" w:pos="1589"/>
          <w:tab w:val="left" w:pos="2014"/>
        </w:tabs>
        <w:spacing w:line="500" w:lineRule="exact"/>
        <w:ind w:firstLine="480"/>
        <w:jc w:val="left"/>
        <w:rPr>
          <w:rFonts w:ascii="宋体" w:hAnsi="宋体"/>
          <w:b/>
          <w:bCs/>
          <w:sz w:val="24"/>
        </w:rPr>
      </w:pPr>
      <w:r>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222BDD">
      <w:pPr>
        <w:keepNext/>
        <w:keepLines/>
        <w:spacing w:line="360" w:lineRule="auto"/>
        <w:outlineLvl w:val="3"/>
        <w:rPr>
          <w:rFonts w:ascii="宋体" w:hAnsi="宋体"/>
          <w:bCs/>
          <w:sz w:val="30"/>
          <w:szCs w:val="30"/>
        </w:rPr>
      </w:pPr>
      <w:r>
        <w:rPr>
          <w:rFonts w:hint="eastAsia" w:ascii="宋体" w:hAnsi="宋体"/>
          <w:bCs/>
          <w:sz w:val="30"/>
          <w:szCs w:val="30"/>
        </w:rPr>
        <w:t>34、</w:t>
      </w:r>
      <w:r>
        <w:rPr>
          <w:rFonts w:ascii="宋体" w:hAnsi="宋体"/>
          <w:bCs/>
          <w:sz w:val="30"/>
          <w:szCs w:val="30"/>
        </w:rPr>
        <w:t>政府采购节能产品、环境标志产品</w:t>
      </w:r>
    </w:p>
    <w:p w14:paraId="4610D71C">
      <w:pPr>
        <w:tabs>
          <w:tab w:val="left" w:pos="1980"/>
        </w:tabs>
        <w:spacing w:line="500" w:lineRule="exact"/>
        <w:ind w:firstLine="480"/>
        <w:jc w:val="left"/>
        <w:rPr>
          <w:rFonts w:ascii="宋体" w:hAnsi="宋体"/>
          <w:sz w:val="24"/>
        </w:rPr>
      </w:pPr>
      <w:r>
        <w:rPr>
          <w:rFonts w:ascii="宋体" w:hAnsi="宋体"/>
          <w:sz w:val="24"/>
        </w:rPr>
        <w:t>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B106B55">
      <w:pPr>
        <w:tabs>
          <w:tab w:val="left" w:pos="1980"/>
        </w:tabs>
        <w:spacing w:line="500" w:lineRule="exact"/>
        <w:ind w:firstLine="480"/>
        <w:jc w:val="left"/>
        <w:rPr>
          <w:rFonts w:ascii="宋体" w:hAnsi="宋体"/>
          <w:sz w:val="24"/>
        </w:rPr>
      </w:pPr>
      <w:r>
        <w:rPr>
          <w:rFonts w:ascii="宋体" w:hAnsi="宋体"/>
          <w:sz w:val="24"/>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0D1645D">
      <w:pPr>
        <w:tabs>
          <w:tab w:val="left" w:pos="1980"/>
        </w:tabs>
        <w:spacing w:line="500" w:lineRule="exact"/>
        <w:ind w:firstLine="482"/>
        <w:jc w:val="left"/>
        <w:rPr>
          <w:rFonts w:ascii="宋体" w:hAnsi="宋体"/>
          <w:b/>
          <w:sz w:val="24"/>
        </w:rPr>
      </w:pPr>
      <w:r>
        <w:rPr>
          <w:rFonts w:ascii="宋体" w:hAnsi="宋体"/>
          <w:b/>
          <w:sz w:val="24"/>
        </w:rPr>
        <w:t>34.3如本项目采购产品属于实施政府强制采购品目清单范围的节能产品，则供应商所报产品必须获得国家确定的认证机构出具的、处于有效期之内的节能产品认证证书，否则投标无效；</w:t>
      </w:r>
    </w:p>
    <w:p w14:paraId="55554233">
      <w:pPr>
        <w:tabs>
          <w:tab w:val="left" w:pos="1980"/>
        </w:tabs>
        <w:spacing w:line="500" w:lineRule="exact"/>
        <w:ind w:firstLine="480"/>
        <w:jc w:val="left"/>
        <w:rPr>
          <w:rFonts w:ascii="宋体" w:hAnsi="宋体"/>
          <w:sz w:val="24"/>
        </w:rPr>
      </w:pPr>
      <w:r>
        <w:rPr>
          <w:rFonts w:ascii="宋体" w:hAnsi="宋体"/>
          <w:sz w:val="24"/>
        </w:rPr>
        <w:t>34.5非政府强制采购的节能产品或环境标志产品，依据品目清单和认证证书实施政府优先采购。优先采购的具体规定见第四章《评标方法和评标标准》（如涉及）。</w:t>
      </w:r>
    </w:p>
    <w:p w14:paraId="32AD6AAB">
      <w:pPr>
        <w:keepNext/>
        <w:keepLines/>
        <w:spacing w:line="360" w:lineRule="auto"/>
        <w:outlineLvl w:val="3"/>
        <w:rPr>
          <w:rFonts w:ascii="宋体" w:hAnsi="宋体"/>
          <w:bCs/>
          <w:sz w:val="30"/>
          <w:szCs w:val="30"/>
        </w:rPr>
      </w:pPr>
      <w:r>
        <w:rPr>
          <w:rFonts w:ascii="宋体" w:hAnsi="宋体"/>
          <w:bCs/>
          <w:sz w:val="30"/>
          <w:szCs w:val="30"/>
        </w:rPr>
        <w:t>35</w:t>
      </w:r>
      <w:r>
        <w:rPr>
          <w:rFonts w:hint="eastAsia" w:ascii="宋体" w:hAnsi="宋体"/>
          <w:bCs/>
          <w:sz w:val="30"/>
          <w:szCs w:val="30"/>
        </w:rPr>
        <w:t>、</w:t>
      </w:r>
      <w:r>
        <w:rPr>
          <w:rFonts w:ascii="宋体" w:hAnsi="宋体"/>
          <w:bCs/>
          <w:sz w:val="30"/>
          <w:szCs w:val="30"/>
        </w:rPr>
        <w:t>商品包装政府采购需求标准</w:t>
      </w:r>
      <w:r>
        <w:rPr>
          <w:rFonts w:hint="eastAsia" w:ascii="宋体" w:hAnsi="宋体"/>
          <w:bCs/>
          <w:sz w:val="30"/>
          <w:szCs w:val="30"/>
        </w:rPr>
        <w:t>、</w:t>
      </w:r>
      <w:r>
        <w:rPr>
          <w:rFonts w:ascii="宋体" w:hAnsi="宋体"/>
          <w:bCs/>
          <w:sz w:val="30"/>
          <w:szCs w:val="30"/>
        </w:rPr>
        <w:t>快递包装政府采购需求标准</w:t>
      </w:r>
    </w:p>
    <w:p w14:paraId="1770ECC9">
      <w:pPr>
        <w:tabs>
          <w:tab w:val="left" w:pos="1980"/>
          <w:tab w:val="left" w:pos="2014"/>
        </w:tabs>
        <w:spacing w:line="500" w:lineRule="exact"/>
        <w:ind w:firstLine="480"/>
        <w:jc w:val="left"/>
        <w:rPr>
          <w:rFonts w:ascii="宋体" w:hAnsi="宋体"/>
          <w:b/>
          <w:bCs/>
          <w:sz w:val="24"/>
        </w:rPr>
      </w:pPr>
      <w:r>
        <w:rPr>
          <w:rFonts w:hint="eastAsia" w:ascii="宋体" w:hAnsi="宋体"/>
          <w:sz w:val="24"/>
        </w:rPr>
        <w:t>依据</w:t>
      </w:r>
      <w:r>
        <w:rPr>
          <w:rFonts w:ascii="宋体" w:hAnsi="宋体"/>
          <w:sz w:val="24"/>
        </w:rPr>
        <w:t>《关于印发〈商品包装政府采购需求标准（试行）〉、〈快递包装政府采购需求标准（试行）〉的通知》（财办库〔2020〕123号）</w:t>
      </w:r>
      <w:r>
        <w:rPr>
          <w:rFonts w:hint="eastAsia" w:ascii="宋体" w:hAnsi="宋体"/>
          <w:sz w:val="24"/>
        </w:rPr>
        <w:t>文件</w:t>
      </w:r>
      <w:r>
        <w:rPr>
          <w:rFonts w:ascii="宋体" w:hAnsi="宋体"/>
          <w:sz w:val="24"/>
        </w:rPr>
        <w:t>精神</w:t>
      </w:r>
      <w:r>
        <w:rPr>
          <w:rFonts w:hint="eastAsia" w:ascii="宋体" w:hAnsi="宋体"/>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B1A333A">
      <w:pPr>
        <w:keepNext/>
        <w:keepLines/>
        <w:spacing w:line="360" w:lineRule="auto"/>
        <w:outlineLvl w:val="3"/>
        <w:rPr>
          <w:rFonts w:ascii="宋体" w:hAnsi="宋体"/>
          <w:bCs/>
          <w:sz w:val="30"/>
          <w:szCs w:val="30"/>
        </w:rPr>
      </w:pPr>
      <w:r>
        <w:rPr>
          <w:rFonts w:ascii="宋体" w:hAnsi="宋体"/>
          <w:bCs/>
          <w:sz w:val="30"/>
          <w:szCs w:val="30"/>
        </w:rPr>
        <w:t>36</w:t>
      </w:r>
      <w:r>
        <w:rPr>
          <w:rFonts w:hint="eastAsia" w:ascii="宋体" w:hAnsi="宋体"/>
          <w:bCs/>
          <w:sz w:val="30"/>
          <w:szCs w:val="30"/>
        </w:rPr>
        <w:t>、</w:t>
      </w:r>
      <w:r>
        <w:rPr>
          <w:rFonts w:ascii="宋体" w:hAnsi="宋体"/>
          <w:bCs/>
          <w:sz w:val="30"/>
          <w:szCs w:val="30"/>
        </w:rPr>
        <w:t>支持乡村产业振兴管理</w:t>
      </w:r>
    </w:p>
    <w:p w14:paraId="407A4888">
      <w:pPr>
        <w:tabs>
          <w:tab w:val="left" w:pos="1080"/>
          <w:tab w:val="left" w:pos="1589"/>
          <w:tab w:val="left" w:pos="2014"/>
        </w:tabs>
        <w:spacing w:line="500" w:lineRule="exact"/>
        <w:ind w:firstLine="480"/>
        <w:jc w:val="left"/>
        <w:rPr>
          <w:rFonts w:ascii="宋体" w:hAnsi="宋体"/>
          <w:b/>
          <w:bCs/>
          <w:sz w:val="24"/>
        </w:rPr>
      </w:pPr>
      <w:r>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14:paraId="279A6C7D">
      <w:pPr>
        <w:keepNext/>
        <w:keepLines/>
        <w:spacing w:line="360" w:lineRule="auto"/>
        <w:outlineLvl w:val="3"/>
        <w:rPr>
          <w:rFonts w:ascii="宋体" w:hAnsi="宋体"/>
          <w:bCs/>
          <w:sz w:val="30"/>
          <w:szCs w:val="30"/>
        </w:rPr>
      </w:pPr>
      <w:r>
        <w:rPr>
          <w:rFonts w:hint="eastAsia" w:ascii="宋体" w:hAnsi="宋体"/>
          <w:bCs/>
          <w:sz w:val="30"/>
          <w:szCs w:val="30"/>
        </w:rPr>
        <w:t>3</w:t>
      </w:r>
      <w:r>
        <w:rPr>
          <w:rFonts w:ascii="宋体" w:hAnsi="宋体"/>
          <w:bCs/>
          <w:sz w:val="30"/>
          <w:szCs w:val="30"/>
        </w:rPr>
        <w:t>7</w:t>
      </w:r>
      <w:r>
        <w:rPr>
          <w:rFonts w:hint="eastAsia" w:ascii="宋体" w:hAnsi="宋体"/>
          <w:bCs/>
          <w:sz w:val="30"/>
          <w:szCs w:val="30"/>
        </w:rPr>
        <w:t>、</w:t>
      </w:r>
      <w:r>
        <w:rPr>
          <w:rFonts w:ascii="宋体" w:hAnsi="宋体"/>
          <w:bCs/>
          <w:sz w:val="30"/>
          <w:szCs w:val="30"/>
        </w:rPr>
        <w:t>正版软件</w:t>
      </w:r>
    </w:p>
    <w:p w14:paraId="66B9CC48">
      <w:pPr>
        <w:tabs>
          <w:tab w:val="left" w:pos="1980"/>
        </w:tabs>
        <w:spacing w:line="500" w:lineRule="exact"/>
        <w:ind w:firstLine="480"/>
        <w:jc w:val="left"/>
        <w:rPr>
          <w:rFonts w:ascii="宋体" w:hAnsi="宋体"/>
          <w:sz w:val="24"/>
        </w:rPr>
      </w:pPr>
      <w:r>
        <w:rPr>
          <w:rFonts w:ascii="宋体" w:hAnsi="宋体"/>
          <w:sz w:val="24"/>
        </w:rPr>
        <w:t>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宋体" w:hAnsi="宋体"/>
          <w:b/>
          <w:sz w:val="24"/>
        </w:rPr>
        <w:t>投标无效</w:t>
      </w:r>
      <w:r>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7DF5821">
      <w:pPr>
        <w:tabs>
          <w:tab w:val="left" w:pos="1980"/>
        </w:tabs>
        <w:spacing w:line="500" w:lineRule="exact"/>
        <w:ind w:firstLine="480"/>
        <w:jc w:val="left"/>
        <w:rPr>
          <w:rFonts w:ascii="宋体" w:hAnsi="宋体"/>
          <w:sz w:val="24"/>
        </w:rPr>
      </w:pPr>
      <w:r>
        <w:rPr>
          <w:rFonts w:ascii="宋体" w:hAnsi="宋体"/>
          <w:sz w:val="24"/>
        </w:rPr>
        <w:t>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35F7FF2">
      <w:pPr>
        <w:keepNext/>
        <w:keepLines/>
        <w:spacing w:line="360" w:lineRule="auto"/>
        <w:outlineLvl w:val="3"/>
        <w:rPr>
          <w:rFonts w:ascii="宋体" w:hAnsi="宋体"/>
          <w:bCs/>
          <w:sz w:val="30"/>
          <w:szCs w:val="30"/>
        </w:rPr>
      </w:pPr>
      <w:r>
        <w:rPr>
          <w:rFonts w:ascii="宋体" w:hAnsi="宋体"/>
          <w:bCs/>
          <w:sz w:val="30"/>
          <w:szCs w:val="30"/>
        </w:rPr>
        <w:t>38</w:t>
      </w:r>
      <w:r>
        <w:rPr>
          <w:rFonts w:hint="eastAsia" w:ascii="宋体" w:hAnsi="宋体"/>
          <w:bCs/>
          <w:sz w:val="30"/>
          <w:szCs w:val="30"/>
        </w:rPr>
        <w:t>、</w:t>
      </w:r>
      <w:r>
        <w:rPr>
          <w:rFonts w:ascii="宋体" w:hAnsi="宋体"/>
          <w:bCs/>
          <w:sz w:val="30"/>
          <w:szCs w:val="30"/>
        </w:rPr>
        <w:t>信息安全产品</w:t>
      </w:r>
    </w:p>
    <w:p w14:paraId="5E222308">
      <w:pPr>
        <w:tabs>
          <w:tab w:val="left" w:pos="1080"/>
          <w:tab w:val="left" w:pos="1589"/>
          <w:tab w:val="left" w:pos="2014"/>
        </w:tabs>
        <w:spacing w:line="500" w:lineRule="exact"/>
        <w:ind w:firstLine="480"/>
        <w:jc w:val="left"/>
        <w:rPr>
          <w:rFonts w:ascii="宋体" w:hAnsi="宋体"/>
          <w:b/>
          <w:bCs/>
          <w:sz w:val="24"/>
        </w:rPr>
      </w:pPr>
      <w:r>
        <w:rPr>
          <w:rFonts w:hint="eastAsia" w:ascii="宋体" w:hAnsi="宋体"/>
          <w:sz w:val="24"/>
        </w:rPr>
        <w:t>具体详见国家互联网信息办公室、工业和信息化部、公安部、财政部和国家认证认可监督管理委员会关于调整网络安全专用产品安全管理有关事项的公告 （2023年第1号）</w:t>
      </w:r>
    </w:p>
    <w:p w14:paraId="3FBB5BED">
      <w:pPr>
        <w:keepNext/>
        <w:keepLines/>
        <w:spacing w:line="360" w:lineRule="auto"/>
        <w:outlineLvl w:val="3"/>
        <w:rPr>
          <w:rFonts w:ascii="宋体" w:hAnsi="宋体"/>
          <w:bCs/>
          <w:sz w:val="30"/>
          <w:szCs w:val="30"/>
        </w:rPr>
      </w:pPr>
      <w:r>
        <w:rPr>
          <w:rFonts w:ascii="宋体" w:hAnsi="宋体"/>
          <w:bCs/>
          <w:sz w:val="30"/>
          <w:szCs w:val="30"/>
        </w:rPr>
        <w:t>39</w:t>
      </w:r>
      <w:r>
        <w:rPr>
          <w:rFonts w:hint="eastAsia" w:ascii="宋体" w:hAnsi="宋体"/>
          <w:bCs/>
          <w:sz w:val="30"/>
          <w:szCs w:val="30"/>
        </w:rPr>
        <w:t>、政府采购创新产品政策</w:t>
      </w:r>
    </w:p>
    <w:p w14:paraId="79BD19BA">
      <w:pPr>
        <w:tabs>
          <w:tab w:val="left" w:pos="1980"/>
          <w:tab w:val="left" w:pos="2014"/>
        </w:tabs>
        <w:spacing w:line="500" w:lineRule="exact"/>
        <w:ind w:firstLine="480"/>
        <w:jc w:val="left"/>
        <w:rPr>
          <w:rFonts w:ascii="宋体" w:hAnsi="宋体"/>
          <w:b/>
          <w:bCs/>
          <w:sz w:val="24"/>
        </w:rPr>
      </w:pPr>
      <w:r>
        <w:rPr>
          <w:rFonts w:hint="eastAsia" w:ascii="宋体" w:hAnsi="宋体"/>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536DB6E">
      <w:pPr>
        <w:keepNext/>
        <w:keepLines/>
        <w:spacing w:line="360" w:lineRule="auto"/>
        <w:outlineLvl w:val="3"/>
        <w:rPr>
          <w:rFonts w:ascii="宋体" w:hAnsi="宋体"/>
          <w:bCs/>
          <w:sz w:val="30"/>
          <w:szCs w:val="30"/>
        </w:rPr>
      </w:pPr>
      <w:r>
        <w:rPr>
          <w:rFonts w:ascii="宋体" w:hAnsi="宋体"/>
          <w:bCs/>
          <w:sz w:val="30"/>
          <w:szCs w:val="30"/>
        </w:rPr>
        <w:t>40</w:t>
      </w:r>
      <w:r>
        <w:rPr>
          <w:rFonts w:hint="eastAsia" w:ascii="宋体" w:hAnsi="宋体"/>
          <w:bCs/>
          <w:sz w:val="30"/>
          <w:szCs w:val="30"/>
        </w:rPr>
        <w:t>、绿色采购政策</w:t>
      </w:r>
    </w:p>
    <w:p w14:paraId="647F13C4">
      <w:pPr>
        <w:tabs>
          <w:tab w:val="left" w:pos="1980"/>
          <w:tab w:val="left" w:pos="2014"/>
        </w:tabs>
        <w:spacing w:line="500" w:lineRule="exact"/>
        <w:ind w:firstLine="480"/>
        <w:jc w:val="left"/>
        <w:rPr>
          <w:rFonts w:ascii="宋体" w:hAnsi="宋体"/>
          <w:sz w:val="24"/>
        </w:rPr>
      </w:pPr>
      <w:r>
        <w:rPr>
          <w:rFonts w:ascii="宋体" w:hAnsi="宋体"/>
          <w:sz w:val="24"/>
        </w:rPr>
        <w:t>40.1</w:t>
      </w:r>
      <w:r>
        <w:rPr>
          <w:rFonts w:hint="eastAsia" w:ascii="宋体" w:hAnsi="宋体"/>
          <w:sz w:val="24"/>
        </w:rPr>
        <w:t xml:space="preserve">绿色数据中心政策 </w:t>
      </w:r>
    </w:p>
    <w:p w14:paraId="469A642D">
      <w:pPr>
        <w:tabs>
          <w:tab w:val="left" w:pos="1980"/>
          <w:tab w:val="left" w:pos="2014"/>
        </w:tabs>
        <w:spacing w:line="500" w:lineRule="exact"/>
        <w:ind w:firstLine="480"/>
        <w:jc w:val="left"/>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E2326BE">
      <w:pPr>
        <w:tabs>
          <w:tab w:val="left" w:pos="1980"/>
          <w:tab w:val="left" w:pos="2014"/>
        </w:tabs>
        <w:spacing w:line="500" w:lineRule="exact"/>
        <w:ind w:firstLine="480"/>
        <w:jc w:val="left"/>
        <w:rPr>
          <w:rFonts w:ascii="宋体" w:hAnsi="宋体"/>
          <w:sz w:val="24"/>
        </w:rPr>
      </w:pPr>
      <w:r>
        <w:rPr>
          <w:rFonts w:ascii="宋体" w:hAnsi="宋体"/>
          <w:sz w:val="24"/>
        </w:rPr>
        <w:t>40.2</w:t>
      </w:r>
      <w:r>
        <w:rPr>
          <w:rFonts w:hint="eastAsia" w:ascii="宋体" w:hAnsi="宋体"/>
          <w:sz w:val="24"/>
        </w:rPr>
        <w:t xml:space="preserve"> 推广应用绿色建材</w:t>
      </w:r>
    </w:p>
    <w:p w14:paraId="1F274940">
      <w:pPr>
        <w:tabs>
          <w:tab w:val="left" w:pos="1980"/>
          <w:tab w:val="left" w:pos="2014"/>
        </w:tabs>
        <w:spacing w:line="500" w:lineRule="exact"/>
        <w:ind w:firstLine="480"/>
        <w:jc w:val="left"/>
        <w:rPr>
          <w:rFonts w:ascii="宋体" w:hAnsi="宋体"/>
          <w:sz w:val="24"/>
        </w:rPr>
      </w:pPr>
      <w:r>
        <w:rPr>
          <w:rFonts w:hint="eastAsia" w:ascii="宋体" w:hAnsi="宋体"/>
          <w:sz w:val="24"/>
        </w:rPr>
        <w:t>采购人实施政府采购工程项目，要按照《常州市政府采购支持绿色建材促进建筑品质提升试点工作方案》（常财购</w:t>
      </w:r>
      <w:r>
        <w:rPr>
          <w:rFonts w:ascii="宋体" w:hAnsi="宋体"/>
          <w:sz w:val="24"/>
        </w:rPr>
        <w:t>〔20</w:t>
      </w:r>
      <w:r>
        <w:rPr>
          <w:rFonts w:hint="eastAsia" w:ascii="宋体" w:hAnsi="宋体"/>
          <w:sz w:val="24"/>
        </w:rPr>
        <w:t>23</w:t>
      </w:r>
      <w:r>
        <w:rPr>
          <w:rFonts w:ascii="宋体" w:hAnsi="宋体"/>
          <w:sz w:val="24"/>
        </w:rPr>
        <w:t>〕</w:t>
      </w:r>
      <w:r>
        <w:rPr>
          <w:rFonts w:hint="eastAsia" w:ascii="宋体" w:hAnsi="宋体"/>
          <w:sz w:val="24"/>
        </w:rPr>
        <w:t>18</w:t>
      </w:r>
      <w:r>
        <w:rPr>
          <w:rFonts w:ascii="宋体" w:hAnsi="宋体"/>
          <w:sz w:val="24"/>
        </w:rPr>
        <w:t xml:space="preserve"> 号</w:t>
      </w:r>
      <w:r>
        <w:rPr>
          <w:rFonts w:hint="eastAsia" w:ascii="宋体" w:hAnsi="宋体"/>
          <w:sz w:val="24"/>
        </w:rPr>
        <w:t>）总体要求，落实《绿色建筑和绿色建材政府采购需求标准》（</w:t>
      </w:r>
      <w:r>
        <w:rPr>
          <w:rFonts w:ascii="宋体" w:hAnsi="宋体"/>
          <w:sz w:val="24"/>
        </w:rPr>
        <w:t>财库〔20</w:t>
      </w:r>
      <w:r>
        <w:rPr>
          <w:rFonts w:hint="eastAsia" w:ascii="宋体" w:hAnsi="宋体"/>
          <w:sz w:val="24"/>
        </w:rPr>
        <w:t>22</w:t>
      </w:r>
      <w:r>
        <w:rPr>
          <w:rFonts w:ascii="宋体" w:hAnsi="宋体"/>
          <w:sz w:val="24"/>
        </w:rPr>
        <w:t>〕</w:t>
      </w:r>
      <w:r>
        <w:rPr>
          <w:rFonts w:hint="eastAsia" w:ascii="宋体" w:hAnsi="宋体"/>
          <w:sz w:val="24"/>
        </w:rPr>
        <w:t>35</w:t>
      </w:r>
      <w:r>
        <w:rPr>
          <w:rFonts w:ascii="宋体" w:hAnsi="宋体"/>
          <w:sz w:val="24"/>
        </w:rPr>
        <w:t xml:space="preserve"> 号</w:t>
      </w:r>
      <w:r>
        <w:rPr>
          <w:rFonts w:hint="eastAsia" w:ascii="宋体" w:hAnsi="宋体"/>
          <w:sz w:val="24"/>
        </w:rPr>
        <w:t>）和《政府采购支持绿色建材促进建筑品质提升政策项目实施指南》（财办库</w:t>
      </w:r>
      <w:r>
        <w:rPr>
          <w:rFonts w:ascii="宋体" w:hAnsi="宋体"/>
          <w:sz w:val="24"/>
        </w:rPr>
        <w:t>〔20</w:t>
      </w:r>
      <w:r>
        <w:rPr>
          <w:rFonts w:hint="eastAsia" w:ascii="宋体" w:hAnsi="宋体"/>
          <w:sz w:val="24"/>
        </w:rPr>
        <w:t>23</w:t>
      </w:r>
      <w:r>
        <w:rPr>
          <w:rFonts w:ascii="宋体" w:hAnsi="宋体"/>
          <w:sz w:val="24"/>
        </w:rPr>
        <w:t>〕</w:t>
      </w:r>
      <w:r>
        <w:rPr>
          <w:rFonts w:hint="eastAsia" w:ascii="宋体" w:hAnsi="宋体"/>
          <w:sz w:val="24"/>
        </w:rPr>
        <w:t>52</w:t>
      </w:r>
      <w:r>
        <w:rPr>
          <w:rFonts w:ascii="宋体" w:hAnsi="宋体"/>
          <w:sz w:val="24"/>
        </w:rPr>
        <w:t xml:space="preserve"> 号</w:t>
      </w:r>
      <w:r>
        <w:rPr>
          <w:rFonts w:hint="eastAsia" w:ascii="宋体" w:hAnsi="宋体"/>
          <w:sz w:val="24"/>
        </w:rPr>
        <w:t>）,依据相关需求标准确定采购需求，在采购文件和采购合同中载明具体需求、履约验收条款和违约责任。</w:t>
      </w:r>
    </w:p>
    <w:p w14:paraId="11061D92">
      <w:pPr>
        <w:tabs>
          <w:tab w:val="left" w:pos="1980"/>
          <w:tab w:val="left" w:pos="2014"/>
        </w:tabs>
        <w:spacing w:line="500" w:lineRule="exact"/>
        <w:ind w:firstLine="480"/>
        <w:jc w:val="left"/>
        <w:rPr>
          <w:rFonts w:ascii="宋体" w:hAnsi="宋体"/>
          <w:sz w:val="24"/>
        </w:rPr>
      </w:pPr>
      <w:r>
        <w:rPr>
          <w:rFonts w:ascii="宋体" w:hAnsi="宋体"/>
          <w:sz w:val="24"/>
        </w:rPr>
        <w:t>40.3</w:t>
      </w:r>
      <w:r>
        <w:rPr>
          <w:rFonts w:hint="eastAsia" w:ascii="宋体" w:hAnsi="宋体"/>
          <w:sz w:val="24"/>
        </w:rPr>
        <w:t xml:space="preserve"> 优先使用低挥发性有机化合物产品</w:t>
      </w:r>
    </w:p>
    <w:p w14:paraId="6195C3F8">
      <w:pPr>
        <w:tabs>
          <w:tab w:val="left" w:pos="1980"/>
          <w:tab w:val="left" w:pos="2014"/>
        </w:tabs>
        <w:spacing w:line="500" w:lineRule="exact"/>
        <w:ind w:firstLine="480"/>
        <w:jc w:val="left"/>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p>
    <w:p w14:paraId="1746FEEB">
      <w:pPr>
        <w:spacing w:line="360" w:lineRule="auto"/>
        <w:rPr>
          <w:rFonts w:ascii="宋体" w:hAnsi="宋体"/>
          <w:sz w:val="24"/>
        </w:rPr>
      </w:pPr>
    </w:p>
    <w:p w14:paraId="2A61F07F">
      <w:pPr>
        <w:spacing w:line="360" w:lineRule="auto"/>
        <w:jc w:val="center"/>
        <w:outlineLvl w:val="0"/>
        <w:rPr>
          <w:rFonts w:ascii="宋体" w:hAnsi="宋体"/>
          <w:b/>
          <w:sz w:val="36"/>
          <w:szCs w:val="36"/>
        </w:rPr>
      </w:pPr>
      <w:r>
        <w:rPr>
          <w:rFonts w:ascii="宋体" w:hAnsi="宋体"/>
          <w:sz w:val="24"/>
        </w:rPr>
        <w:br w:type="page" w:clear="all"/>
      </w:r>
      <w:bookmarkEnd w:id="317"/>
      <w:bookmarkEnd w:id="318"/>
      <w:bookmarkEnd w:id="319"/>
      <w:bookmarkStart w:id="322" w:name="_Toc14712"/>
      <w:bookmarkStart w:id="323" w:name="_Toc104818927"/>
      <w:r>
        <w:rPr>
          <w:rFonts w:ascii="宋体" w:hAnsi="宋体"/>
          <w:b/>
          <w:sz w:val="36"/>
          <w:szCs w:val="36"/>
        </w:rPr>
        <w:t xml:space="preserve">第三章  </w:t>
      </w:r>
      <w:bookmarkEnd w:id="159"/>
      <w:bookmarkEnd w:id="160"/>
      <w:bookmarkEnd w:id="161"/>
      <w:bookmarkEnd w:id="162"/>
      <w:bookmarkEnd w:id="163"/>
      <w:bookmarkEnd w:id="164"/>
      <w:bookmarkEnd w:id="165"/>
      <w:bookmarkEnd w:id="166"/>
      <w:bookmarkEnd w:id="167"/>
      <w:bookmarkEnd w:id="168"/>
      <w:bookmarkEnd w:id="169"/>
      <w:bookmarkEnd w:id="170"/>
      <w:bookmarkEnd w:id="171"/>
      <w:bookmarkStart w:id="324" w:name="_Toc99301421"/>
      <w:r>
        <w:rPr>
          <w:rFonts w:ascii="宋体" w:hAnsi="宋体"/>
          <w:b/>
          <w:sz w:val="36"/>
          <w:szCs w:val="36"/>
        </w:rPr>
        <w:t xml:space="preserve"> 资格审查</w:t>
      </w:r>
      <w:bookmarkEnd w:id="322"/>
      <w:bookmarkEnd w:id="324"/>
    </w:p>
    <w:p w14:paraId="3AA2D30D">
      <w:pPr>
        <w:tabs>
          <w:tab w:val="left" w:pos="360"/>
          <w:tab w:val="left" w:pos="851"/>
        </w:tabs>
        <w:spacing w:line="360" w:lineRule="auto"/>
        <w:ind w:firstLine="2891"/>
        <w:outlineLvl w:val="1"/>
        <w:rPr>
          <w:rFonts w:ascii="宋体" w:hAnsi="宋体"/>
          <w:b/>
          <w:sz w:val="32"/>
          <w:szCs w:val="32"/>
        </w:rPr>
      </w:pPr>
      <w:bookmarkStart w:id="325" w:name="_Toc19895"/>
      <w:bookmarkStart w:id="326" w:name="_Toc99301422"/>
      <w:bookmarkStart w:id="327" w:name="_Toc160609039"/>
      <w:bookmarkStart w:id="328" w:name="_Toc152678551"/>
      <w:bookmarkStart w:id="329" w:name="_Toc27804"/>
      <w:bookmarkStart w:id="330" w:name="_Toc152678632"/>
      <w:r>
        <w:rPr>
          <w:rFonts w:hint="eastAsia" w:ascii="宋体" w:hAnsi="宋体"/>
          <w:b/>
          <w:sz w:val="32"/>
          <w:szCs w:val="32"/>
        </w:rPr>
        <w:t xml:space="preserve">第一节 </w:t>
      </w:r>
      <w:r>
        <w:rPr>
          <w:rFonts w:ascii="宋体" w:hAnsi="宋体"/>
          <w:b/>
          <w:sz w:val="32"/>
          <w:szCs w:val="32"/>
        </w:rPr>
        <w:t>资格审查程序</w:t>
      </w:r>
      <w:bookmarkEnd w:id="325"/>
      <w:bookmarkEnd w:id="326"/>
      <w:bookmarkEnd w:id="327"/>
      <w:bookmarkEnd w:id="328"/>
      <w:bookmarkEnd w:id="329"/>
      <w:bookmarkEnd w:id="330"/>
    </w:p>
    <w:p w14:paraId="26190E48">
      <w:pPr>
        <w:spacing w:line="360" w:lineRule="auto"/>
        <w:ind w:firstLine="425"/>
        <w:rPr>
          <w:rFonts w:ascii="宋体" w:hAnsi="宋体"/>
          <w:sz w:val="24"/>
        </w:rPr>
      </w:pPr>
      <w:r>
        <w:rPr>
          <w:rFonts w:ascii="宋体" w:hAnsi="宋体"/>
          <w:sz w:val="24"/>
        </w:rPr>
        <w:t>一、</w:t>
      </w:r>
      <w:r>
        <w:rPr>
          <w:rFonts w:hint="eastAsia" w:ascii="宋体" w:hAnsi="宋体"/>
          <w:sz w:val="24"/>
        </w:rPr>
        <w:t>响应</w:t>
      </w:r>
      <w:r>
        <w:rPr>
          <w:rFonts w:ascii="宋体" w:hAnsi="宋体"/>
          <w:sz w:val="24"/>
        </w:rPr>
        <w:t>文件开启后，采购人代表将根据《资格审查要求》中的规定，对</w:t>
      </w:r>
      <w:r>
        <w:rPr>
          <w:rFonts w:hint="eastAsia" w:ascii="宋体" w:hAnsi="宋体"/>
          <w:sz w:val="24"/>
        </w:rPr>
        <w:t>供应商</w:t>
      </w:r>
      <w:r>
        <w:rPr>
          <w:rFonts w:ascii="宋体" w:hAnsi="宋体"/>
          <w:sz w:val="24"/>
        </w:rPr>
        <w:t>进行资格审查，并形成资格审查结果。</w:t>
      </w:r>
    </w:p>
    <w:p w14:paraId="26B4B86D">
      <w:pPr>
        <w:spacing w:line="360" w:lineRule="auto"/>
        <w:ind w:firstLine="425"/>
        <w:rPr>
          <w:rFonts w:ascii="宋体" w:hAnsi="宋体"/>
          <w:sz w:val="24"/>
        </w:rPr>
      </w:pPr>
      <w:r>
        <w:rPr>
          <w:rFonts w:ascii="宋体" w:hAnsi="宋体"/>
          <w:sz w:val="24"/>
        </w:rPr>
        <w:t>二、《资格审查要求》中对格式有要求的，除</w:t>
      </w:r>
      <w:r>
        <w:rPr>
          <w:rFonts w:hint="eastAsia" w:ascii="宋体" w:hAnsi="宋体"/>
          <w:sz w:val="24"/>
        </w:rPr>
        <w:t>磋商</w:t>
      </w:r>
      <w:r>
        <w:rPr>
          <w:rFonts w:ascii="宋体" w:hAnsi="宋体"/>
          <w:sz w:val="24"/>
        </w:rPr>
        <w:t>文件另有规定外，均为“实质性格式”文件。</w:t>
      </w:r>
    </w:p>
    <w:p w14:paraId="7203F586">
      <w:pPr>
        <w:spacing w:line="360" w:lineRule="auto"/>
        <w:ind w:firstLine="425"/>
        <w:rPr>
          <w:rFonts w:ascii="宋体" w:hAnsi="宋体"/>
          <w:sz w:val="24"/>
        </w:rPr>
      </w:pPr>
      <w:r>
        <w:rPr>
          <w:rFonts w:ascii="宋体" w:hAnsi="宋体"/>
          <w:sz w:val="24"/>
        </w:rPr>
        <w:t>三、</w:t>
      </w:r>
      <w:r>
        <w:rPr>
          <w:rFonts w:hint="eastAsia" w:ascii="宋体" w:hAnsi="宋体"/>
          <w:sz w:val="24"/>
        </w:rPr>
        <w:t>供应商</w:t>
      </w:r>
      <w:r>
        <w:rPr>
          <w:rFonts w:ascii="宋体" w:hAnsi="宋体"/>
          <w:sz w:val="24"/>
        </w:rPr>
        <w:t>《资格证明文件》有任何一项不符合《资格审查要求》的，资格审查不合格，其</w:t>
      </w:r>
      <w:r>
        <w:rPr>
          <w:rFonts w:hint="eastAsia" w:ascii="宋体" w:hAnsi="宋体"/>
          <w:sz w:val="24"/>
        </w:rPr>
        <w:t>响应</w:t>
      </w:r>
      <w:r>
        <w:rPr>
          <w:rFonts w:ascii="宋体" w:hAnsi="宋体"/>
          <w:sz w:val="24"/>
        </w:rPr>
        <w:t>无效。</w:t>
      </w:r>
    </w:p>
    <w:p w14:paraId="444B5F06">
      <w:pPr>
        <w:spacing w:line="360" w:lineRule="auto"/>
        <w:ind w:firstLine="425"/>
        <w:rPr>
          <w:rFonts w:ascii="宋体" w:hAnsi="宋体"/>
          <w:sz w:val="24"/>
        </w:rPr>
      </w:pPr>
      <w:r>
        <w:rPr>
          <w:rFonts w:ascii="宋体" w:hAnsi="宋体"/>
          <w:sz w:val="24"/>
        </w:rPr>
        <w:t>四、资格审查合格的供应商不足3家的，不进行</w:t>
      </w:r>
      <w:r>
        <w:rPr>
          <w:rFonts w:hint="eastAsia" w:ascii="宋体" w:hAnsi="宋体"/>
          <w:sz w:val="24"/>
        </w:rPr>
        <w:t>评审</w:t>
      </w:r>
      <w:r>
        <w:rPr>
          <w:rFonts w:ascii="宋体" w:hAnsi="宋体"/>
          <w:sz w:val="24"/>
        </w:rPr>
        <w:t>。</w:t>
      </w:r>
    </w:p>
    <w:p w14:paraId="3C244CC9">
      <w:pPr>
        <w:tabs>
          <w:tab w:val="left" w:pos="360"/>
          <w:tab w:val="left" w:pos="900"/>
        </w:tabs>
        <w:spacing w:line="360" w:lineRule="auto"/>
        <w:ind w:firstLine="2891"/>
        <w:outlineLvl w:val="1"/>
        <w:rPr>
          <w:rFonts w:ascii="宋体" w:hAnsi="宋体"/>
          <w:b/>
          <w:sz w:val="32"/>
          <w:szCs w:val="32"/>
        </w:rPr>
      </w:pPr>
      <w:bookmarkStart w:id="331" w:name="_Toc22753"/>
      <w:bookmarkStart w:id="332" w:name="_Toc152678633"/>
      <w:bookmarkStart w:id="333" w:name="_Toc160609040"/>
      <w:bookmarkStart w:id="334" w:name="_Toc152678552"/>
      <w:bookmarkStart w:id="335" w:name="_Toc20170"/>
      <w:r>
        <w:rPr>
          <w:rFonts w:ascii="宋体" w:hAnsi="宋体"/>
          <w:b/>
          <w:sz w:val="32"/>
          <w:szCs w:val="32"/>
        </w:rPr>
        <w:t>第二节资格审查要求</w:t>
      </w:r>
      <w:bookmarkEnd w:id="331"/>
      <w:bookmarkEnd w:id="332"/>
      <w:bookmarkEnd w:id="333"/>
      <w:bookmarkEnd w:id="334"/>
      <w:bookmarkEnd w:id="335"/>
    </w:p>
    <w:tbl>
      <w:tblPr>
        <w:tblStyle w:val="4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1819"/>
        <w:gridCol w:w="4426"/>
        <w:gridCol w:w="1503"/>
      </w:tblGrid>
      <w:tr w14:paraId="376F2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noWrap w:val="0"/>
            <w:vAlign w:val="center"/>
          </w:tcPr>
          <w:p w14:paraId="53C3FD26">
            <w:pPr>
              <w:tabs>
                <w:tab w:val="left" w:pos="1080"/>
              </w:tabs>
              <w:spacing w:line="360" w:lineRule="auto"/>
              <w:jc w:val="center"/>
              <w:rPr>
                <w:rFonts w:ascii="宋体" w:hAnsi="宋体"/>
                <w:b/>
                <w:sz w:val="24"/>
              </w:rPr>
            </w:pPr>
            <w:r>
              <w:rPr>
                <w:rFonts w:ascii="宋体" w:hAnsi="宋体"/>
                <w:b/>
                <w:sz w:val="24"/>
              </w:rPr>
              <w:t>序号</w:t>
            </w:r>
          </w:p>
        </w:tc>
        <w:tc>
          <w:tcPr>
            <w:tcW w:w="1067" w:type="pct"/>
            <w:noWrap w:val="0"/>
            <w:vAlign w:val="center"/>
          </w:tcPr>
          <w:p w14:paraId="7BDA7AA3">
            <w:pPr>
              <w:tabs>
                <w:tab w:val="left" w:pos="1080"/>
              </w:tabs>
              <w:spacing w:line="360" w:lineRule="auto"/>
              <w:jc w:val="center"/>
              <w:rPr>
                <w:rFonts w:ascii="宋体" w:hAnsi="宋体"/>
                <w:b/>
                <w:sz w:val="24"/>
              </w:rPr>
            </w:pPr>
            <w:r>
              <w:rPr>
                <w:rFonts w:ascii="宋体" w:hAnsi="宋体"/>
                <w:b/>
                <w:sz w:val="24"/>
              </w:rPr>
              <w:t>审查因素</w:t>
            </w:r>
          </w:p>
        </w:tc>
        <w:tc>
          <w:tcPr>
            <w:tcW w:w="2597" w:type="pct"/>
            <w:noWrap w:val="0"/>
            <w:vAlign w:val="center"/>
          </w:tcPr>
          <w:p w14:paraId="3BE32BC8">
            <w:pPr>
              <w:tabs>
                <w:tab w:val="left" w:pos="1080"/>
              </w:tabs>
              <w:spacing w:line="360" w:lineRule="auto"/>
              <w:jc w:val="center"/>
              <w:rPr>
                <w:rFonts w:ascii="宋体" w:hAnsi="宋体"/>
                <w:b/>
                <w:sz w:val="24"/>
              </w:rPr>
            </w:pPr>
            <w:r>
              <w:rPr>
                <w:rFonts w:ascii="宋体" w:hAnsi="宋体"/>
                <w:b/>
                <w:sz w:val="24"/>
              </w:rPr>
              <w:t>审查内容</w:t>
            </w:r>
          </w:p>
        </w:tc>
        <w:tc>
          <w:tcPr>
            <w:tcW w:w="882" w:type="pct"/>
            <w:noWrap w:val="0"/>
            <w:vAlign w:val="center"/>
          </w:tcPr>
          <w:p w14:paraId="577F5962">
            <w:pPr>
              <w:tabs>
                <w:tab w:val="left" w:pos="1080"/>
              </w:tabs>
              <w:spacing w:line="360" w:lineRule="auto"/>
              <w:jc w:val="center"/>
              <w:rPr>
                <w:rFonts w:ascii="宋体" w:hAnsi="宋体"/>
                <w:b/>
                <w:sz w:val="24"/>
              </w:rPr>
            </w:pPr>
            <w:r>
              <w:rPr>
                <w:rFonts w:ascii="宋体" w:hAnsi="宋体"/>
                <w:b/>
                <w:sz w:val="24"/>
              </w:rPr>
              <w:t>格式要求</w:t>
            </w:r>
          </w:p>
        </w:tc>
      </w:tr>
      <w:tr w14:paraId="378C6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774FD6D4">
            <w:pPr>
              <w:tabs>
                <w:tab w:val="left" w:pos="1080"/>
              </w:tabs>
              <w:spacing w:line="360" w:lineRule="auto"/>
              <w:jc w:val="center"/>
              <w:rPr>
                <w:rFonts w:ascii="宋体" w:hAnsi="宋体"/>
                <w:sz w:val="24"/>
              </w:rPr>
            </w:pPr>
            <w:r>
              <w:rPr>
                <w:rFonts w:ascii="宋体" w:hAnsi="宋体"/>
                <w:sz w:val="24"/>
              </w:rPr>
              <w:t>1</w:t>
            </w:r>
          </w:p>
        </w:tc>
        <w:tc>
          <w:tcPr>
            <w:tcW w:w="1067" w:type="pct"/>
            <w:noWrap w:val="0"/>
            <w:vAlign w:val="center"/>
          </w:tcPr>
          <w:p w14:paraId="27E26BE0">
            <w:pPr>
              <w:tabs>
                <w:tab w:val="left" w:pos="1080"/>
              </w:tabs>
              <w:spacing w:line="360" w:lineRule="auto"/>
              <w:rPr>
                <w:rFonts w:ascii="宋体" w:hAnsi="宋体"/>
                <w:sz w:val="24"/>
              </w:rPr>
            </w:pPr>
            <w:r>
              <w:rPr>
                <w:rFonts w:hint="eastAsia" w:ascii="宋体" w:hAnsi="宋体"/>
                <w:sz w:val="24"/>
              </w:rPr>
              <w:t xml:space="preserve"> 营业执照副本（事业单位法人证书）</w:t>
            </w:r>
          </w:p>
        </w:tc>
        <w:tc>
          <w:tcPr>
            <w:tcW w:w="2597" w:type="pct"/>
            <w:noWrap w:val="0"/>
            <w:vAlign w:val="center"/>
          </w:tcPr>
          <w:p w14:paraId="0B1FF4F6">
            <w:pPr>
              <w:tabs>
                <w:tab w:val="left" w:pos="1080"/>
              </w:tabs>
              <w:spacing w:line="360" w:lineRule="auto"/>
              <w:rPr>
                <w:rFonts w:ascii="宋体" w:hAnsi="宋体"/>
                <w:sz w:val="24"/>
              </w:rPr>
            </w:pPr>
            <w:r>
              <w:rPr>
                <w:rFonts w:hint="eastAsia" w:ascii="宋体" w:hAnsi="宋体"/>
                <w:bCs/>
                <w:sz w:val="24"/>
              </w:rPr>
              <w:t>营业执照副本和税务登记证副本(或“三证合一”的营业执照副本）或事业单位法人证书</w:t>
            </w:r>
          </w:p>
        </w:tc>
        <w:tc>
          <w:tcPr>
            <w:tcW w:w="882" w:type="pct"/>
            <w:noWrap w:val="0"/>
            <w:vAlign w:val="center"/>
          </w:tcPr>
          <w:p w14:paraId="52F935B7">
            <w:pPr>
              <w:tabs>
                <w:tab w:val="left" w:pos="1080"/>
              </w:tabs>
              <w:spacing w:line="360" w:lineRule="auto"/>
              <w:ind w:firstLine="720"/>
              <w:rPr>
                <w:rFonts w:ascii="宋体" w:hAnsi="宋体"/>
                <w:sz w:val="24"/>
              </w:rPr>
            </w:pPr>
            <w:r>
              <w:rPr>
                <w:rFonts w:hint="eastAsia" w:ascii="宋体" w:hAnsi="宋体"/>
                <w:sz w:val="24"/>
              </w:rPr>
              <w:t>/</w:t>
            </w:r>
          </w:p>
        </w:tc>
      </w:tr>
      <w:tr w14:paraId="5FDB7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74B827E9">
            <w:pPr>
              <w:tabs>
                <w:tab w:val="left" w:pos="1080"/>
              </w:tabs>
              <w:spacing w:line="360" w:lineRule="auto"/>
              <w:jc w:val="center"/>
              <w:rPr>
                <w:rFonts w:ascii="宋体" w:hAnsi="宋体"/>
                <w:sz w:val="24"/>
              </w:rPr>
            </w:pPr>
            <w:r>
              <w:rPr>
                <w:rFonts w:hint="eastAsia" w:ascii="宋体" w:hAnsi="宋体"/>
                <w:sz w:val="24"/>
              </w:rPr>
              <w:t>2</w:t>
            </w:r>
          </w:p>
        </w:tc>
        <w:tc>
          <w:tcPr>
            <w:tcW w:w="1067" w:type="pct"/>
            <w:noWrap w:val="0"/>
            <w:vAlign w:val="center"/>
          </w:tcPr>
          <w:p w14:paraId="0463C777">
            <w:pPr>
              <w:tabs>
                <w:tab w:val="left" w:pos="1080"/>
              </w:tabs>
              <w:spacing w:line="360" w:lineRule="auto"/>
              <w:rPr>
                <w:rFonts w:ascii="宋体" w:hAnsi="宋体"/>
                <w:sz w:val="24"/>
              </w:rPr>
            </w:pPr>
            <w:r>
              <w:rPr>
                <w:rFonts w:hint="eastAsia" w:ascii="宋体" w:hAnsi="宋体"/>
                <w:sz w:val="24"/>
              </w:rPr>
              <w:t>法人授权书</w:t>
            </w:r>
          </w:p>
        </w:tc>
        <w:tc>
          <w:tcPr>
            <w:tcW w:w="2597" w:type="pct"/>
            <w:noWrap w:val="0"/>
            <w:vAlign w:val="center"/>
          </w:tcPr>
          <w:p w14:paraId="279F057E">
            <w:pPr>
              <w:widowControl/>
              <w:spacing w:line="360" w:lineRule="auto"/>
              <w:jc w:val="left"/>
              <w:rPr>
                <w:rFonts w:ascii="宋体" w:hAnsi="宋体"/>
                <w:sz w:val="24"/>
              </w:rPr>
            </w:pPr>
            <w:r>
              <w:rPr>
                <w:rFonts w:hint="eastAsia" w:ascii="宋体" w:hAnsi="宋体"/>
                <w:bCs/>
                <w:sz w:val="24"/>
              </w:rPr>
              <w:t>法人授权书、法定代表人身份证及被授权人身份证</w:t>
            </w:r>
          </w:p>
        </w:tc>
        <w:tc>
          <w:tcPr>
            <w:tcW w:w="882" w:type="pct"/>
            <w:noWrap w:val="0"/>
            <w:vAlign w:val="center"/>
          </w:tcPr>
          <w:p w14:paraId="72D20AC1">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文件格式》</w:t>
            </w:r>
          </w:p>
        </w:tc>
      </w:tr>
      <w:tr w14:paraId="61DCA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17759F30">
            <w:pPr>
              <w:tabs>
                <w:tab w:val="left" w:pos="1080"/>
              </w:tabs>
              <w:spacing w:line="360" w:lineRule="auto"/>
              <w:jc w:val="center"/>
              <w:rPr>
                <w:rFonts w:ascii="宋体" w:hAnsi="宋体"/>
                <w:sz w:val="24"/>
              </w:rPr>
            </w:pPr>
            <w:r>
              <w:rPr>
                <w:rFonts w:hint="eastAsia" w:ascii="宋体" w:hAnsi="宋体"/>
                <w:sz w:val="24"/>
              </w:rPr>
              <w:t>3</w:t>
            </w:r>
          </w:p>
        </w:tc>
        <w:tc>
          <w:tcPr>
            <w:tcW w:w="1067" w:type="pct"/>
            <w:noWrap w:val="0"/>
            <w:vAlign w:val="center"/>
          </w:tcPr>
          <w:p w14:paraId="0CDB280E">
            <w:pPr>
              <w:tabs>
                <w:tab w:val="left" w:pos="1080"/>
              </w:tabs>
              <w:spacing w:line="360" w:lineRule="auto"/>
              <w:rPr>
                <w:rFonts w:ascii="宋体" w:hAnsi="宋体"/>
                <w:sz w:val="24"/>
              </w:rPr>
            </w:pPr>
            <w:r>
              <w:rPr>
                <w:rFonts w:hint="eastAsia" w:ascii="宋体" w:hAnsi="宋体"/>
                <w:sz w:val="24"/>
              </w:rPr>
              <w:t>供应商资格声明</w:t>
            </w:r>
          </w:p>
        </w:tc>
        <w:tc>
          <w:tcPr>
            <w:tcW w:w="2597" w:type="pct"/>
            <w:noWrap w:val="0"/>
            <w:vAlign w:val="center"/>
          </w:tcPr>
          <w:p w14:paraId="7BF1FBD0">
            <w:pPr>
              <w:spacing w:line="360" w:lineRule="auto"/>
              <w:rPr>
                <w:rFonts w:ascii="宋体" w:hAnsi="宋体"/>
                <w:sz w:val="36"/>
                <w:szCs w:val="36"/>
              </w:rPr>
            </w:pPr>
            <w:r>
              <w:rPr>
                <w:rFonts w:ascii="宋体" w:hAnsi="宋体"/>
                <w:bCs/>
                <w:sz w:val="24"/>
              </w:rPr>
              <w:t>《</w:t>
            </w:r>
            <w:r>
              <w:rPr>
                <w:rFonts w:hint="eastAsia" w:ascii="宋体" w:hAnsi="宋体"/>
                <w:bCs/>
                <w:sz w:val="24"/>
              </w:rPr>
              <w:t>资格承诺声明函</w:t>
            </w:r>
            <w:r>
              <w:rPr>
                <w:rFonts w:ascii="宋体" w:hAnsi="宋体"/>
                <w:bCs/>
                <w:sz w:val="24"/>
              </w:rPr>
              <w:t>》</w:t>
            </w:r>
          </w:p>
        </w:tc>
        <w:tc>
          <w:tcPr>
            <w:tcW w:w="882" w:type="pct"/>
            <w:noWrap w:val="0"/>
            <w:vAlign w:val="center"/>
          </w:tcPr>
          <w:p w14:paraId="73271A00">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文件格式》</w:t>
            </w:r>
          </w:p>
        </w:tc>
      </w:tr>
      <w:tr w14:paraId="7DDBF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7CEDE5BD">
            <w:pPr>
              <w:tabs>
                <w:tab w:val="left" w:pos="1080"/>
              </w:tabs>
              <w:spacing w:line="360" w:lineRule="auto"/>
              <w:jc w:val="center"/>
              <w:rPr>
                <w:rFonts w:ascii="宋体" w:hAnsi="宋体"/>
                <w:sz w:val="24"/>
              </w:rPr>
            </w:pPr>
            <w:r>
              <w:rPr>
                <w:rFonts w:hint="eastAsia" w:ascii="宋体" w:hAnsi="宋体"/>
                <w:sz w:val="24"/>
              </w:rPr>
              <w:t>4</w:t>
            </w:r>
          </w:p>
        </w:tc>
        <w:tc>
          <w:tcPr>
            <w:tcW w:w="1067" w:type="pct"/>
            <w:noWrap w:val="0"/>
            <w:vAlign w:val="center"/>
          </w:tcPr>
          <w:p w14:paraId="5F6B5819">
            <w:pPr>
              <w:tabs>
                <w:tab w:val="left" w:pos="1080"/>
              </w:tabs>
              <w:spacing w:line="360" w:lineRule="auto"/>
              <w:rPr>
                <w:rFonts w:ascii="宋体" w:hAnsi="宋体"/>
                <w:sz w:val="24"/>
              </w:rPr>
            </w:pPr>
            <w:r>
              <w:rPr>
                <w:rFonts w:hint="eastAsia" w:ascii="宋体" w:hAnsi="宋体"/>
                <w:sz w:val="24"/>
              </w:rPr>
              <w:t>供应商</w:t>
            </w:r>
            <w:r>
              <w:rPr>
                <w:rFonts w:ascii="宋体" w:hAnsi="宋体"/>
                <w:sz w:val="24"/>
              </w:rPr>
              <w:t>信用记录</w:t>
            </w:r>
          </w:p>
        </w:tc>
        <w:tc>
          <w:tcPr>
            <w:tcW w:w="2597" w:type="pct"/>
            <w:noWrap w:val="0"/>
            <w:vAlign w:val="center"/>
          </w:tcPr>
          <w:p w14:paraId="3A0171DC">
            <w:pPr>
              <w:tabs>
                <w:tab w:val="left" w:pos="1080"/>
              </w:tabs>
              <w:spacing w:line="360" w:lineRule="auto"/>
              <w:rPr>
                <w:rFonts w:ascii="宋体" w:hAnsi="宋体"/>
                <w:sz w:val="24"/>
              </w:rPr>
            </w:pPr>
            <w:r>
              <w:rPr>
                <w:rFonts w:hint="eastAsia" w:ascii="宋体" w:hAnsi="宋体"/>
                <w:sz w:val="24"/>
              </w:rPr>
              <w:t>1、</w:t>
            </w: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221B38B0">
            <w:pPr>
              <w:tabs>
                <w:tab w:val="left" w:pos="900"/>
                <w:tab w:val="left" w:pos="1980"/>
              </w:tabs>
              <w:spacing w:line="360" w:lineRule="auto"/>
              <w:rPr>
                <w:rFonts w:ascii="宋体" w:hAnsi="宋体"/>
                <w:sz w:val="24"/>
              </w:rPr>
            </w:pPr>
            <w:r>
              <w:rPr>
                <w:rFonts w:hint="eastAsia" w:ascii="宋体" w:hAnsi="宋体"/>
                <w:sz w:val="24"/>
              </w:rPr>
              <w:t>2、</w:t>
            </w:r>
            <w:r>
              <w:rPr>
                <w:rFonts w:ascii="宋体" w:hAnsi="宋体"/>
                <w:sz w:val="24"/>
              </w:rPr>
              <w:t>截止时点：</w:t>
            </w:r>
            <w:r>
              <w:rPr>
                <w:rFonts w:hint="eastAsia" w:ascii="宋体" w:hAnsi="宋体"/>
                <w:sz w:val="24"/>
              </w:rPr>
              <w:t>响应</w:t>
            </w:r>
            <w:r>
              <w:rPr>
                <w:rFonts w:ascii="宋体" w:hAnsi="宋体"/>
                <w:sz w:val="24"/>
              </w:rPr>
              <w:t>文件递交截止时间以后、</w:t>
            </w:r>
            <w:r>
              <w:rPr>
                <w:rFonts w:hint="eastAsia" w:ascii="宋体" w:hAnsi="宋体"/>
                <w:sz w:val="24"/>
              </w:rPr>
              <w:t>资格审查阶段采购人或</w:t>
            </w:r>
            <w:r>
              <w:rPr>
                <w:rFonts w:ascii="宋体" w:hAnsi="宋体"/>
                <w:sz w:val="24"/>
              </w:rPr>
              <w:t>采购代理机构的实际查询时间；</w:t>
            </w:r>
          </w:p>
          <w:p w14:paraId="6BDECEA0">
            <w:pPr>
              <w:tabs>
                <w:tab w:val="left" w:pos="900"/>
                <w:tab w:val="left" w:pos="1980"/>
              </w:tabs>
              <w:spacing w:line="360" w:lineRule="auto"/>
              <w:rPr>
                <w:rFonts w:ascii="宋体" w:hAnsi="宋体"/>
                <w:sz w:val="24"/>
              </w:rPr>
            </w:pPr>
            <w:r>
              <w:rPr>
                <w:rFonts w:hint="eastAsia" w:ascii="宋体" w:hAnsi="宋体"/>
                <w:sz w:val="24"/>
              </w:rPr>
              <w:t>3、</w:t>
            </w:r>
            <w:r>
              <w:rPr>
                <w:rFonts w:ascii="宋体" w:hAnsi="宋体"/>
                <w:sz w:val="24"/>
              </w:rPr>
              <w:t>信用信息查询记录和证据留存具体方式：查询结果网页打印页作为查询记录和证据，与其他磋商文件一并保存；</w:t>
            </w:r>
          </w:p>
          <w:p w14:paraId="264907C8">
            <w:pPr>
              <w:tabs>
                <w:tab w:val="left" w:pos="1080"/>
              </w:tabs>
              <w:spacing w:line="360" w:lineRule="auto"/>
              <w:rPr>
                <w:rFonts w:ascii="宋体" w:hAnsi="宋体"/>
                <w:bCs/>
                <w:sz w:val="24"/>
              </w:rPr>
            </w:pPr>
            <w:r>
              <w:rPr>
                <w:rFonts w:hint="eastAsia" w:ascii="宋体" w:hAnsi="宋体"/>
                <w:sz w:val="24"/>
              </w:rPr>
              <w:t>4、</w:t>
            </w:r>
            <w:r>
              <w:rPr>
                <w:rFonts w:ascii="宋体" w:hAnsi="宋体"/>
                <w:sz w:val="24"/>
              </w:rPr>
              <w:t>信用信息的使用原则：经认定的被列入失信被执行人、重大税收违法案件当事人名单、政府采购严重违法失信行为记录名单的供应商，其</w:t>
            </w:r>
            <w:r>
              <w:rPr>
                <w:rFonts w:hint="eastAsia" w:ascii="宋体" w:hAnsi="宋体"/>
                <w:sz w:val="24"/>
              </w:rPr>
              <w:t>响应</w:t>
            </w:r>
            <w:r>
              <w:rPr>
                <w:rFonts w:ascii="宋体" w:hAnsi="宋体"/>
                <w:sz w:val="24"/>
              </w:rPr>
              <w:t>无效。联合体形式</w:t>
            </w:r>
            <w:r>
              <w:rPr>
                <w:rFonts w:hint="eastAsia" w:ascii="宋体" w:hAnsi="宋体"/>
                <w:sz w:val="24"/>
              </w:rPr>
              <w:t>参加</w:t>
            </w:r>
            <w:r>
              <w:rPr>
                <w:rFonts w:ascii="宋体" w:hAnsi="宋体"/>
                <w:sz w:val="24"/>
              </w:rPr>
              <w:t>的，联合体成员存在不良信用记录，视同联合体存在不良信用记录。</w:t>
            </w:r>
          </w:p>
        </w:tc>
        <w:tc>
          <w:tcPr>
            <w:tcW w:w="882" w:type="pct"/>
            <w:noWrap w:val="0"/>
            <w:vAlign w:val="center"/>
          </w:tcPr>
          <w:p w14:paraId="793418F7">
            <w:pPr>
              <w:tabs>
                <w:tab w:val="left" w:pos="1080"/>
              </w:tabs>
              <w:spacing w:line="360" w:lineRule="auto"/>
              <w:rPr>
                <w:rFonts w:ascii="宋体" w:hAnsi="宋体"/>
                <w:sz w:val="24"/>
              </w:rPr>
            </w:pPr>
            <w:r>
              <w:rPr>
                <w:rFonts w:ascii="宋体" w:hAnsi="宋体"/>
                <w:sz w:val="24"/>
              </w:rPr>
              <w:t>无须</w:t>
            </w:r>
            <w:r>
              <w:rPr>
                <w:rFonts w:hint="eastAsia" w:ascii="宋体" w:hAnsi="宋体"/>
                <w:sz w:val="24"/>
              </w:rPr>
              <w:t>供应商</w:t>
            </w:r>
            <w:r>
              <w:rPr>
                <w:rFonts w:ascii="宋体" w:hAnsi="宋体"/>
                <w:sz w:val="24"/>
              </w:rPr>
              <w:t>提供，由采购人查询。</w:t>
            </w:r>
          </w:p>
        </w:tc>
      </w:tr>
      <w:tr w14:paraId="0B860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27B5177C">
            <w:pPr>
              <w:tabs>
                <w:tab w:val="left" w:pos="1080"/>
              </w:tabs>
              <w:spacing w:line="360" w:lineRule="auto"/>
              <w:jc w:val="center"/>
              <w:rPr>
                <w:rFonts w:ascii="宋体" w:hAnsi="宋体"/>
                <w:sz w:val="24"/>
              </w:rPr>
            </w:pPr>
            <w:r>
              <w:rPr>
                <w:rFonts w:hint="eastAsia" w:ascii="宋体" w:hAnsi="宋体"/>
                <w:sz w:val="24"/>
              </w:rPr>
              <w:t>5</w:t>
            </w:r>
          </w:p>
        </w:tc>
        <w:tc>
          <w:tcPr>
            <w:tcW w:w="1067" w:type="pct"/>
            <w:noWrap w:val="0"/>
            <w:vAlign w:val="center"/>
          </w:tcPr>
          <w:p w14:paraId="48A1B186">
            <w:pPr>
              <w:tabs>
                <w:tab w:val="left" w:pos="1080"/>
              </w:tabs>
              <w:spacing w:line="360" w:lineRule="auto"/>
              <w:ind w:firstLine="240"/>
              <w:rPr>
                <w:rFonts w:ascii="宋体" w:hAnsi="宋体"/>
                <w:sz w:val="24"/>
              </w:rPr>
            </w:pPr>
            <w:r>
              <w:rPr>
                <w:rFonts w:hint="eastAsia" w:ascii="宋体" w:hAnsi="宋体"/>
                <w:sz w:val="24"/>
              </w:rPr>
              <w:t>信用承诺</w:t>
            </w:r>
          </w:p>
        </w:tc>
        <w:tc>
          <w:tcPr>
            <w:tcW w:w="2597" w:type="pct"/>
            <w:noWrap w:val="0"/>
            <w:vAlign w:val="center"/>
          </w:tcPr>
          <w:p w14:paraId="01349A3B">
            <w:pPr>
              <w:tabs>
                <w:tab w:val="left" w:pos="1080"/>
              </w:tabs>
              <w:spacing w:line="360" w:lineRule="auto"/>
              <w:rPr>
                <w:rFonts w:ascii="宋体" w:hAnsi="宋体"/>
                <w:bCs/>
                <w:sz w:val="24"/>
              </w:rPr>
            </w:pPr>
            <w:r>
              <w:rPr>
                <w:rFonts w:hint="eastAsia" w:ascii="宋体" w:hAnsi="宋体"/>
                <w:sz w:val="24"/>
              </w:rPr>
              <w:t>《政府采购供应商信用承诺书》</w:t>
            </w:r>
          </w:p>
        </w:tc>
        <w:tc>
          <w:tcPr>
            <w:tcW w:w="882" w:type="pct"/>
            <w:noWrap w:val="0"/>
            <w:vAlign w:val="center"/>
          </w:tcPr>
          <w:p w14:paraId="746A151E">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文件格式》</w:t>
            </w:r>
          </w:p>
        </w:tc>
      </w:tr>
      <w:tr w14:paraId="3CED0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57468EDC">
            <w:pPr>
              <w:tabs>
                <w:tab w:val="left" w:pos="1080"/>
              </w:tabs>
              <w:spacing w:line="360" w:lineRule="auto"/>
              <w:jc w:val="center"/>
              <w:rPr>
                <w:rFonts w:ascii="宋体" w:hAnsi="宋体"/>
                <w:sz w:val="24"/>
              </w:rPr>
            </w:pPr>
            <w:r>
              <w:rPr>
                <w:rFonts w:hint="eastAsia" w:ascii="宋体" w:hAnsi="宋体"/>
                <w:sz w:val="24"/>
              </w:rPr>
              <w:t>6</w:t>
            </w:r>
          </w:p>
        </w:tc>
        <w:tc>
          <w:tcPr>
            <w:tcW w:w="1067" w:type="pct"/>
            <w:noWrap w:val="0"/>
            <w:vAlign w:val="center"/>
          </w:tcPr>
          <w:p w14:paraId="48E3887F">
            <w:pPr>
              <w:tabs>
                <w:tab w:val="left" w:pos="1080"/>
              </w:tabs>
              <w:spacing w:line="360" w:lineRule="auto"/>
              <w:rPr>
                <w:rFonts w:ascii="宋体" w:hAnsi="宋体"/>
                <w:sz w:val="24"/>
              </w:rPr>
            </w:pPr>
            <w:r>
              <w:rPr>
                <w:rFonts w:ascii="宋体" w:hAnsi="宋体"/>
                <w:sz w:val="24"/>
              </w:rPr>
              <w:t>落实政府采购政策需满足的资格要求</w:t>
            </w:r>
          </w:p>
        </w:tc>
        <w:tc>
          <w:tcPr>
            <w:tcW w:w="2597" w:type="pct"/>
            <w:noWrap w:val="0"/>
            <w:vAlign w:val="center"/>
          </w:tcPr>
          <w:p w14:paraId="48F667A1">
            <w:pPr>
              <w:tabs>
                <w:tab w:val="left" w:pos="1080"/>
              </w:tabs>
              <w:spacing w:line="360" w:lineRule="auto"/>
              <w:rPr>
                <w:rFonts w:ascii="宋体" w:hAnsi="宋体"/>
                <w:sz w:val="24"/>
              </w:rPr>
            </w:pPr>
            <w:r>
              <w:rPr>
                <w:rFonts w:hint="eastAsia" w:ascii="宋体" w:hAnsi="宋体"/>
                <w:sz w:val="24"/>
              </w:rPr>
              <w:t>如采购公告中明确专门面向中小/小微企业采购，须按要求提供中小企业声明函；未专门面向中小/小微企业采购，此项无需提供。</w:t>
            </w:r>
          </w:p>
          <w:p w14:paraId="175C0E36">
            <w:pPr>
              <w:pStyle w:val="337"/>
              <w:spacing w:line="360" w:lineRule="auto"/>
              <w:rPr>
                <w:rFonts w:ascii="宋体" w:hAnsi="宋体" w:cs="Times New Roman"/>
                <w:b/>
                <w:bCs/>
                <w:color w:val="auto"/>
              </w:rPr>
            </w:pPr>
            <w:r>
              <w:rPr>
                <w:rFonts w:hint="eastAsia" w:ascii="宋体" w:hAnsi="宋体" w:cs="Times New Roman"/>
                <w:b/>
                <w:bCs/>
                <w:color w:val="auto"/>
              </w:rPr>
              <w:t>注1：监狱企业、残疾人福利性单位视同为中小企业。</w:t>
            </w:r>
          </w:p>
          <w:p w14:paraId="456D4138">
            <w:pPr>
              <w:tabs>
                <w:tab w:val="left" w:pos="1080"/>
              </w:tabs>
              <w:spacing w:line="360" w:lineRule="auto"/>
              <w:rPr>
                <w:rFonts w:ascii="宋体" w:hAnsi="宋体"/>
                <w:b/>
                <w:bCs/>
                <w:sz w:val="24"/>
              </w:rPr>
            </w:pPr>
            <w:r>
              <w:rPr>
                <w:rFonts w:hint="eastAsia" w:ascii="宋体" w:hAnsi="宋体"/>
                <w:b/>
                <w:bCs/>
                <w:sz w:val="24"/>
              </w:rPr>
              <w:t>注2：</w:t>
            </w:r>
            <w:r>
              <w:rPr>
                <w:rFonts w:ascii="宋体" w:hAnsi="宋体"/>
                <w:b/>
                <w:bCs/>
                <w:sz w:val="24"/>
              </w:rPr>
              <w:t>监狱企业须提供由省级以上监狱管理局（常州市含教育矫治局）、戒毒管理局（含新疆生产建设兵团）出具的属于监狱企业的证明文件。</w:t>
            </w:r>
          </w:p>
          <w:p w14:paraId="2910AC08">
            <w:pPr>
              <w:pStyle w:val="337"/>
              <w:spacing w:line="360" w:lineRule="auto"/>
              <w:rPr>
                <w:rFonts w:ascii="宋体" w:hAnsi="宋体"/>
                <w:color w:val="auto"/>
              </w:rPr>
            </w:pPr>
            <w:r>
              <w:rPr>
                <w:rFonts w:hint="eastAsia" w:ascii="宋体" w:hAnsi="宋体" w:cs="Times New Roman"/>
                <w:b/>
                <w:bCs/>
                <w:color w:val="auto"/>
              </w:rPr>
              <w:t>注3：</w:t>
            </w:r>
            <w:r>
              <w:rPr>
                <w:rFonts w:ascii="宋体" w:hAnsi="宋体" w:cs="Times New Roman"/>
                <w:b/>
                <w:bCs/>
                <w:color w:val="auto"/>
              </w:rPr>
              <w:t>残疾人福利性单位须按磋商文件要求提供《残疾人福利性单位声明函》</w:t>
            </w:r>
          </w:p>
        </w:tc>
        <w:tc>
          <w:tcPr>
            <w:tcW w:w="882" w:type="pct"/>
            <w:noWrap w:val="0"/>
            <w:vAlign w:val="center"/>
          </w:tcPr>
          <w:p w14:paraId="170F6DF1">
            <w:pPr>
              <w:tabs>
                <w:tab w:val="left" w:pos="1080"/>
              </w:tabs>
              <w:spacing w:line="360" w:lineRule="auto"/>
              <w:rPr>
                <w:rFonts w:ascii="宋体" w:hAnsi="宋体"/>
                <w:sz w:val="24"/>
              </w:rPr>
            </w:pPr>
            <w:r>
              <w:rPr>
                <w:rFonts w:hint="eastAsia" w:ascii="宋体" w:hAnsi="宋体"/>
                <w:sz w:val="24"/>
              </w:rPr>
              <w:t>《中小企业声明函》、</w:t>
            </w:r>
            <w:r>
              <w:rPr>
                <w:rFonts w:ascii="宋体" w:hAnsi="宋体"/>
                <w:sz w:val="24"/>
              </w:rPr>
              <w:t>《残疾人福利性单位声明函》格式见《</w:t>
            </w:r>
            <w:r>
              <w:rPr>
                <w:rFonts w:hint="eastAsia" w:ascii="宋体" w:hAnsi="宋体"/>
                <w:sz w:val="24"/>
              </w:rPr>
              <w:t>响应</w:t>
            </w:r>
            <w:r>
              <w:rPr>
                <w:rFonts w:ascii="宋体" w:hAnsi="宋体"/>
                <w:sz w:val="24"/>
              </w:rPr>
              <w:t>文件格式》</w:t>
            </w:r>
          </w:p>
        </w:tc>
      </w:tr>
      <w:tr w14:paraId="08C34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72428D2">
            <w:pPr>
              <w:tabs>
                <w:tab w:val="left" w:pos="1080"/>
              </w:tabs>
              <w:spacing w:line="360" w:lineRule="auto"/>
              <w:jc w:val="center"/>
              <w:rPr>
                <w:rFonts w:ascii="宋体" w:hAnsi="宋体"/>
                <w:b/>
                <w:sz w:val="24"/>
              </w:rPr>
            </w:pPr>
            <w:r>
              <w:rPr>
                <w:rFonts w:hint="eastAsia" w:ascii="宋体" w:hAnsi="宋体"/>
                <w:b/>
                <w:sz w:val="24"/>
              </w:rPr>
              <w:t>7</w:t>
            </w:r>
          </w:p>
        </w:tc>
        <w:tc>
          <w:tcPr>
            <w:tcW w:w="1067" w:type="pct"/>
            <w:noWrap w:val="0"/>
            <w:vAlign w:val="center"/>
          </w:tcPr>
          <w:p w14:paraId="4FCFAEDB">
            <w:pPr>
              <w:tabs>
                <w:tab w:val="left" w:pos="1080"/>
              </w:tabs>
              <w:spacing w:line="360" w:lineRule="auto"/>
              <w:rPr>
                <w:rFonts w:ascii="宋体" w:hAnsi="宋体"/>
                <w:b/>
                <w:sz w:val="24"/>
              </w:rPr>
            </w:pPr>
            <w:r>
              <w:rPr>
                <w:rFonts w:ascii="宋体" w:hAnsi="宋体"/>
                <w:b/>
                <w:sz w:val="24"/>
              </w:rPr>
              <w:t>本项目的特定资格要求</w:t>
            </w:r>
            <w:r>
              <w:rPr>
                <w:rFonts w:hint="eastAsia" w:ascii="宋体" w:hAnsi="宋体"/>
                <w:b/>
                <w:bCs/>
                <w:sz w:val="24"/>
              </w:rPr>
              <w:t>（如有）</w:t>
            </w:r>
          </w:p>
        </w:tc>
        <w:tc>
          <w:tcPr>
            <w:tcW w:w="2597" w:type="pct"/>
            <w:noWrap w:val="0"/>
            <w:vAlign w:val="center"/>
          </w:tcPr>
          <w:p w14:paraId="64593CF5">
            <w:pPr>
              <w:widowControl/>
              <w:spacing w:line="360" w:lineRule="auto"/>
              <w:jc w:val="left"/>
              <w:rPr>
                <w:rFonts w:ascii="宋体" w:hAnsi="宋体"/>
                <w:b/>
                <w:bCs/>
                <w:sz w:val="24"/>
              </w:rPr>
            </w:pPr>
            <w:r>
              <w:rPr>
                <w:rFonts w:hint="eastAsia" w:ascii="宋体" w:hAnsi="宋体"/>
                <w:b/>
                <w:bCs/>
                <w:sz w:val="24"/>
              </w:rPr>
              <w:t>见第一章《采购邀请》</w:t>
            </w:r>
          </w:p>
        </w:tc>
        <w:tc>
          <w:tcPr>
            <w:tcW w:w="882" w:type="pct"/>
            <w:noWrap w:val="0"/>
            <w:vAlign w:val="center"/>
          </w:tcPr>
          <w:p w14:paraId="54458A34">
            <w:pPr>
              <w:tabs>
                <w:tab w:val="left" w:pos="1080"/>
              </w:tabs>
              <w:spacing w:line="360" w:lineRule="auto"/>
              <w:rPr>
                <w:rFonts w:ascii="宋体" w:hAnsi="宋体"/>
                <w:sz w:val="24"/>
              </w:rPr>
            </w:pPr>
            <w:r>
              <w:rPr>
                <w:rFonts w:hint="eastAsia" w:ascii="宋体" w:hAnsi="宋体"/>
                <w:sz w:val="24"/>
              </w:rPr>
              <w:t>提供相关</w:t>
            </w:r>
            <w:r>
              <w:rPr>
                <w:rFonts w:hint="eastAsia" w:ascii="宋体" w:hAnsi="宋体"/>
                <w:sz w:val="24"/>
                <w:lang w:val="en-US" w:eastAsia="zh-CN"/>
              </w:rPr>
              <w:t>材料</w:t>
            </w:r>
            <w:r>
              <w:rPr>
                <w:rFonts w:hint="eastAsia" w:ascii="宋体" w:hAnsi="宋体"/>
                <w:sz w:val="24"/>
              </w:rPr>
              <w:t>电子扫描件</w:t>
            </w:r>
          </w:p>
        </w:tc>
      </w:tr>
      <w:tr w14:paraId="6F72D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pct"/>
            <w:noWrap w:val="0"/>
            <w:vAlign w:val="center"/>
          </w:tcPr>
          <w:p w14:paraId="0A178CEB">
            <w:pPr>
              <w:tabs>
                <w:tab w:val="left" w:pos="1080"/>
              </w:tabs>
              <w:spacing w:line="360" w:lineRule="auto"/>
              <w:jc w:val="center"/>
              <w:rPr>
                <w:rFonts w:ascii="宋体" w:hAnsi="宋体"/>
                <w:sz w:val="24"/>
              </w:rPr>
            </w:pPr>
            <w:r>
              <w:rPr>
                <w:rFonts w:hint="eastAsia" w:ascii="宋体" w:hAnsi="宋体"/>
                <w:sz w:val="24"/>
              </w:rPr>
              <w:t>8</w:t>
            </w:r>
          </w:p>
        </w:tc>
        <w:tc>
          <w:tcPr>
            <w:tcW w:w="1067" w:type="pct"/>
            <w:noWrap w:val="0"/>
            <w:vAlign w:val="center"/>
          </w:tcPr>
          <w:p w14:paraId="4AEC1158">
            <w:pPr>
              <w:tabs>
                <w:tab w:val="left" w:pos="1080"/>
              </w:tabs>
              <w:spacing w:line="360" w:lineRule="auto"/>
              <w:rPr>
                <w:rFonts w:ascii="宋体" w:hAnsi="宋体"/>
                <w:sz w:val="24"/>
              </w:rPr>
            </w:pPr>
            <w:r>
              <w:rPr>
                <w:rFonts w:ascii="宋体" w:hAnsi="宋体"/>
                <w:sz w:val="24"/>
              </w:rPr>
              <w:t>联合体</w:t>
            </w:r>
            <w:r>
              <w:rPr>
                <w:rFonts w:hint="eastAsia" w:ascii="宋体" w:hAnsi="宋体"/>
                <w:sz w:val="24"/>
              </w:rPr>
              <w:t>协议（如有）</w:t>
            </w:r>
          </w:p>
        </w:tc>
        <w:tc>
          <w:tcPr>
            <w:tcW w:w="2597" w:type="pct"/>
            <w:noWrap w:val="0"/>
            <w:vAlign w:val="center"/>
          </w:tcPr>
          <w:p w14:paraId="14410941">
            <w:pPr>
              <w:tabs>
                <w:tab w:val="left" w:pos="1080"/>
              </w:tabs>
              <w:spacing w:line="360" w:lineRule="auto"/>
              <w:rPr>
                <w:rFonts w:ascii="宋体" w:hAnsi="宋体"/>
                <w:sz w:val="24"/>
              </w:rPr>
            </w:pPr>
            <w:r>
              <w:rPr>
                <w:rFonts w:ascii="宋体" w:hAnsi="宋体"/>
                <w:sz w:val="24"/>
              </w:rPr>
              <w:t>1、如本项目接受联合体</w:t>
            </w:r>
            <w:r>
              <w:rPr>
                <w:rFonts w:hint="eastAsia" w:ascii="宋体" w:hAnsi="宋体"/>
                <w:sz w:val="24"/>
              </w:rPr>
              <w:t>磋商</w:t>
            </w:r>
            <w:r>
              <w:rPr>
                <w:rFonts w:ascii="宋体" w:hAnsi="宋体"/>
                <w:sz w:val="24"/>
              </w:rPr>
              <w:t>，且供应商为联合体时必须提供《联合协议》，明确各方拟承担的工作和责任，并指定联合体牵头人，授权其代表所有联合体成员负责本项目</w:t>
            </w:r>
            <w:r>
              <w:rPr>
                <w:rFonts w:hint="eastAsia" w:ascii="宋体" w:hAnsi="宋体"/>
                <w:sz w:val="24"/>
              </w:rPr>
              <w:t>磋商</w:t>
            </w:r>
            <w:r>
              <w:rPr>
                <w:rFonts w:ascii="宋体" w:hAnsi="宋体"/>
                <w:sz w:val="24"/>
              </w:rPr>
              <w:t>和合同实施阶段的</w:t>
            </w:r>
            <w:r>
              <w:rPr>
                <w:rFonts w:hint="eastAsia" w:ascii="宋体" w:hAnsi="宋体"/>
                <w:sz w:val="24"/>
              </w:rPr>
              <w:t>牵头</w:t>
            </w:r>
            <w:r>
              <w:rPr>
                <w:rFonts w:ascii="宋体" w:hAnsi="宋体"/>
                <w:sz w:val="24"/>
              </w:rPr>
              <w:t>、协调工作。该联合协议应当作为响应文件的组成部分，与响应文件其他内容同时递交。</w:t>
            </w:r>
          </w:p>
          <w:p w14:paraId="6C0A97E3">
            <w:pPr>
              <w:tabs>
                <w:tab w:val="left" w:pos="1080"/>
              </w:tabs>
              <w:spacing w:line="360" w:lineRule="auto"/>
              <w:rPr>
                <w:rFonts w:ascii="宋体" w:hAnsi="宋体"/>
                <w:sz w:val="24"/>
              </w:rPr>
            </w:pPr>
            <w:r>
              <w:rPr>
                <w:rFonts w:ascii="宋体" w:hAnsi="宋体"/>
                <w:sz w:val="24"/>
              </w:rPr>
              <w:t>2、</w:t>
            </w:r>
            <w:r>
              <w:rPr>
                <w:rFonts w:hint="eastAsia" w:ascii="宋体" w:hAnsi="宋体"/>
                <w:sz w:val="24"/>
              </w:rPr>
              <w:t>联合体各成员单位均须提供本表中序号第</w:t>
            </w:r>
            <w:r>
              <w:rPr>
                <w:rFonts w:ascii="宋体" w:hAnsi="宋体"/>
                <w:sz w:val="24"/>
              </w:rPr>
              <w:t>1</w:t>
            </w:r>
            <w:r>
              <w:rPr>
                <w:rFonts w:hint="eastAsia" w:ascii="宋体" w:hAnsi="宋体"/>
                <w:sz w:val="24"/>
              </w:rPr>
              <w:t>、3、5、6项的证明文件。</w:t>
            </w:r>
          </w:p>
          <w:p w14:paraId="16E824F3">
            <w:pPr>
              <w:tabs>
                <w:tab w:val="left" w:pos="1080"/>
              </w:tabs>
              <w:spacing w:line="360" w:lineRule="auto"/>
              <w:rPr>
                <w:rFonts w:ascii="宋体" w:hAnsi="宋体"/>
                <w:sz w:val="24"/>
              </w:rPr>
            </w:pPr>
            <w:r>
              <w:rPr>
                <w:rFonts w:hint="eastAsia" w:ascii="宋体" w:hAnsi="宋体"/>
                <w:sz w:val="24"/>
              </w:rPr>
              <w:t>3、本表序号第</w:t>
            </w:r>
            <w:r>
              <w:rPr>
                <w:rFonts w:ascii="宋体" w:hAnsi="宋体"/>
                <w:sz w:val="24"/>
              </w:rPr>
              <w:t>7</w:t>
            </w:r>
            <w:r>
              <w:rPr>
                <w:rFonts w:hint="eastAsia" w:ascii="宋体" w:hAnsi="宋体"/>
                <w:sz w:val="24"/>
              </w:rPr>
              <w:t>项规定的其他特定资格要求中的每一小项要求，联合体各方中至少应当有一方符合本表中其他资格要求并提供证明文件。</w:t>
            </w:r>
          </w:p>
          <w:p w14:paraId="71559E7B">
            <w:pPr>
              <w:tabs>
                <w:tab w:val="left" w:pos="1080"/>
              </w:tabs>
              <w:spacing w:line="360" w:lineRule="auto"/>
              <w:rPr>
                <w:rFonts w:ascii="宋体" w:hAnsi="宋体"/>
                <w:sz w:val="24"/>
              </w:rPr>
            </w:pPr>
            <w:r>
              <w:rPr>
                <w:rFonts w:hint="eastAsia" w:ascii="宋体" w:hAnsi="宋体"/>
                <w:sz w:val="24"/>
              </w:rPr>
              <w:t>4</w:t>
            </w:r>
            <w:r>
              <w:rPr>
                <w:rFonts w:ascii="宋体" w:hAnsi="宋体"/>
                <w:sz w:val="24"/>
              </w:rPr>
              <w:t>、联合体中有同类资质的供应商按照联合体分工承担相同工作的，应当按照资质等级较低的供应商确定资质等级。</w:t>
            </w:r>
          </w:p>
          <w:p w14:paraId="40B6733B">
            <w:pPr>
              <w:tabs>
                <w:tab w:val="left" w:pos="1080"/>
              </w:tabs>
              <w:spacing w:line="360" w:lineRule="auto"/>
              <w:rPr>
                <w:rFonts w:ascii="宋体" w:hAnsi="宋体"/>
                <w:sz w:val="24"/>
              </w:rPr>
            </w:pPr>
            <w:r>
              <w:rPr>
                <w:rFonts w:ascii="宋体" w:hAnsi="宋体"/>
                <w:sz w:val="24"/>
              </w:rPr>
              <w:t>5、以联合体形式参加政府采购活动的，联合体各方不得再单独参加或者与其他供应商另外组成联合体参加同一合同项下的政府采购活动。</w:t>
            </w:r>
          </w:p>
          <w:p w14:paraId="36D93590">
            <w:pPr>
              <w:tabs>
                <w:tab w:val="left" w:pos="1080"/>
              </w:tabs>
              <w:spacing w:line="360" w:lineRule="auto"/>
              <w:rPr>
                <w:rFonts w:ascii="宋体" w:hAnsi="宋体"/>
                <w:sz w:val="24"/>
              </w:rPr>
            </w:pPr>
            <w:r>
              <w:rPr>
                <w:rFonts w:ascii="宋体" w:hAnsi="宋体"/>
                <w:sz w:val="24"/>
              </w:rPr>
              <w:t>6、若联合体中任一成员单位中途退出，则该联合体的响应无效。</w:t>
            </w:r>
          </w:p>
          <w:p w14:paraId="0E239AD7">
            <w:pPr>
              <w:tabs>
                <w:tab w:val="left" w:pos="1080"/>
              </w:tabs>
              <w:spacing w:line="360" w:lineRule="auto"/>
              <w:rPr>
                <w:rFonts w:ascii="宋体" w:hAnsi="宋体"/>
                <w:sz w:val="24"/>
              </w:rPr>
            </w:pPr>
            <w:r>
              <w:rPr>
                <w:rFonts w:ascii="宋体" w:hAnsi="宋体"/>
                <w:sz w:val="24"/>
              </w:rPr>
              <w:t>7、本项目不接受联合体</w:t>
            </w:r>
            <w:r>
              <w:rPr>
                <w:rFonts w:hint="eastAsia" w:ascii="宋体" w:hAnsi="宋体"/>
                <w:sz w:val="24"/>
              </w:rPr>
              <w:t>谈判时</w:t>
            </w:r>
            <w:r>
              <w:rPr>
                <w:rFonts w:ascii="宋体" w:hAnsi="宋体"/>
                <w:sz w:val="24"/>
              </w:rPr>
              <w:t>，</w:t>
            </w:r>
            <w:r>
              <w:rPr>
                <w:rFonts w:hint="eastAsia" w:ascii="宋体" w:hAnsi="宋体"/>
                <w:sz w:val="24"/>
              </w:rPr>
              <w:t>供应商不得为联合体</w:t>
            </w:r>
            <w:r>
              <w:rPr>
                <w:rFonts w:ascii="宋体" w:hAnsi="宋体"/>
                <w:sz w:val="24"/>
              </w:rPr>
              <w:t>。</w:t>
            </w:r>
          </w:p>
        </w:tc>
        <w:tc>
          <w:tcPr>
            <w:tcW w:w="882" w:type="pct"/>
            <w:noWrap w:val="0"/>
            <w:vAlign w:val="center"/>
          </w:tcPr>
          <w:p w14:paraId="7CA77C02">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 xml:space="preserve">文件格式》 </w:t>
            </w:r>
          </w:p>
        </w:tc>
      </w:tr>
    </w:tbl>
    <w:p w14:paraId="3C8B2624">
      <w:pPr>
        <w:spacing w:line="360" w:lineRule="auto"/>
        <w:jc w:val="center"/>
        <w:outlineLvl w:val="0"/>
        <w:rPr>
          <w:rFonts w:ascii="宋体" w:hAnsi="宋体"/>
          <w:b/>
          <w:sz w:val="36"/>
          <w:szCs w:val="36"/>
        </w:rPr>
      </w:pPr>
      <w:r>
        <w:rPr>
          <w:rFonts w:ascii="宋体" w:hAnsi="宋体"/>
          <w:b/>
          <w:sz w:val="36"/>
          <w:szCs w:val="36"/>
        </w:rPr>
        <w:br w:type="page" w:clear="all"/>
      </w:r>
      <w:bookmarkStart w:id="336" w:name="_Toc24395"/>
      <w:r>
        <w:rPr>
          <w:rFonts w:ascii="宋体" w:hAnsi="宋体"/>
          <w:b/>
          <w:sz w:val="36"/>
          <w:szCs w:val="36"/>
        </w:rPr>
        <w:t>第四章   评审</w:t>
      </w:r>
      <w:r>
        <w:rPr>
          <w:rFonts w:hint="eastAsia" w:ascii="宋体" w:hAnsi="宋体"/>
          <w:b/>
          <w:sz w:val="36"/>
          <w:szCs w:val="36"/>
        </w:rPr>
        <w:t>程序、评审</w:t>
      </w:r>
      <w:r>
        <w:rPr>
          <w:rFonts w:ascii="宋体" w:hAnsi="宋体"/>
          <w:b/>
          <w:sz w:val="36"/>
          <w:szCs w:val="36"/>
        </w:rPr>
        <w:t>方法和评审标准</w:t>
      </w:r>
      <w:bookmarkEnd w:id="323"/>
      <w:bookmarkEnd w:id="336"/>
      <w:bookmarkStart w:id="337" w:name="_Toc487900382"/>
    </w:p>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337"/>
    <w:p w14:paraId="15F7A17A">
      <w:pPr>
        <w:tabs>
          <w:tab w:val="left" w:pos="360"/>
          <w:tab w:val="left" w:pos="900"/>
        </w:tabs>
        <w:spacing w:line="360" w:lineRule="auto"/>
        <w:jc w:val="center"/>
        <w:outlineLvl w:val="1"/>
        <w:rPr>
          <w:rFonts w:ascii="宋体" w:hAnsi="宋体"/>
          <w:b/>
          <w:sz w:val="32"/>
          <w:szCs w:val="32"/>
        </w:rPr>
      </w:pPr>
      <w:bookmarkStart w:id="338" w:name="_Toc19207"/>
      <w:bookmarkStart w:id="339" w:name="_Toc17317"/>
      <w:bookmarkStart w:id="340" w:name="_Toc160609042"/>
      <w:bookmarkStart w:id="341" w:name="_Toc152678554"/>
      <w:bookmarkStart w:id="342" w:name="_Toc152678635"/>
      <w:bookmarkStart w:id="343" w:name="_Toc353825551"/>
      <w:bookmarkStart w:id="344" w:name="_Toc353873941"/>
      <w:bookmarkStart w:id="345" w:name="_Toc142311057"/>
      <w:bookmarkStart w:id="346" w:name="_Toc226965828"/>
      <w:bookmarkStart w:id="347" w:name="_Toc150774760"/>
      <w:bookmarkStart w:id="348" w:name="_Toc353873665"/>
      <w:bookmarkStart w:id="349" w:name="_Toc265228393"/>
      <w:bookmarkStart w:id="350" w:name="_Toc353873935"/>
      <w:bookmarkStart w:id="351" w:name="_Toc127151555"/>
      <w:bookmarkStart w:id="352" w:name="_Toc264969245"/>
      <w:bookmarkStart w:id="353" w:name="_Toc305158823"/>
      <w:bookmarkStart w:id="354" w:name="_Toc353825545"/>
      <w:bookmarkStart w:id="355" w:name="_Toc226337251"/>
      <w:bookmarkStart w:id="356" w:name="_Toc150480793"/>
      <w:bookmarkStart w:id="357" w:name="_Toc195842920"/>
      <w:bookmarkStart w:id="358" w:name="_Toc305158897"/>
      <w:r>
        <w:rPr>
          <w:rFonts w:hint="eastAsia" w:ascii="宋体" w:hAnsi="宋体"/>
          <w:b/>
          <w:sz w:val="32"/>
          <w:szCs w:val="32"/>
        </w:rPr>
        <w:t>第一节 符合性审查程序</w:t>
      </w:r>
      <w:bookmarkEnd w:id="338"/>
      <w:bookmarkEnd w:id="339"/>
      <w:bookmarkEnd w:id="340"/>
      <w:bookmarkEnd w:id="341"/>
      <w:bookmarkEnd w:id="342"/>
    </w:p>
    <w:p w14:paraId="3C0CA7D3">
      <w:pPr>
        <w:tabs>
          <w:tab w:val="left" w:pos="360"/>
        </w:tabs>
        <w:spacing w:line="360" w:lineRule="auto"/>
        <w:ind w:firstLine="480"/>
        <w:rPr>
          <w:rFonts w:ascii="宋体" w:hAnsi="宋体"/>
          <w:sz w:val="24"/>
        </w:rPr>
      </w:pPr>
      <w:r>
        <w:rPr>
          <w:rFonts w:ascii="宋体" w:hAnsi="宋体"/>
          <w:sz w:val="24"/>
        </w:rPr>
        <w:t>一、</w:t>
      </w:r>
      <w:r>
        <w:rPr>
          <w:rFonts w:hint="eastAsia" w:ascii="宋体" w:hAnsi="宋体"/>
          <w:sz w:val="24"/>
        </w:rPr>
        <w:t>磋商</w:t>
      </w:r>
      <w:r>
        <w:rPr>
          <w:rFonts w:ascii="宋体" w:hAnsi="宋体"/>
          <w:sz w:val="24"/>
        </w:rPr>
        <w:t>小组对资格审查合格的</w:t>
      </w:r>
      <w:r>
        <w:rPr>
          <w:rFonts w:hint="eastAsia" w:ascii="宋体" w:hAnsi="宋体"/>
          <w:sz w:val="24"/>
        </w:rPr>
        <w:t>供应商</w:t>
      </w:r>
      <w:r>
        <w:rPr>
          <w:rFonts w:ascii="宋体" w:hAnsi="宋体"/>
          <w:sz w:val="24"/>
        </w:rPr>
        <w:t>的</w:t>
      </w:r>
      <w:r>
        <w:rPr>
          <w:rFonts w:hint="eastAsia" w:ascii="宋体" w:hAnsi="宋体"/>
          <w:sz w:val="24"/>
        </w:rPr>
        <w:t>响应</w:t>
      </w:r>
      <w:r>
        <w:rPr>
          <w:rFonts w:ascii="宋体" w:hAnsi="宋体"/>
          <w:sz w:val="24"/>
        </w:rPr>
        <w:t>文件进行符合性审查，以确定其是否满足磋商文件的实质性要求。</w:t>
      </w:r>
      <w:bookmarkStart w:id="359" w:name="_Toc520356167"/>
    </w:p>
    <w:p w14:paraId="09459A7F">
      <w:pPr>
        <w:tabs>
          <w:tab w:val="left" w:pos="1080"/>
        </w:tabs>
        <w:spacing w:line="360" w:lineRule="auto"/>
        <w:ind w:firstLine="480"/>
        <w:rPr>
          <w:rFonts w:ascii="宋体" w:hAnsi="宋体"/>
          <w:sz w:val="24"/>
        </w:rPr>
      </w:pPr>
      <w:r>
        <w:rPr>
          <w:rFonts w:ascii="宋体" w:hAnsi="宋体" w:cs="Symbol"/>
          <w:sz w:val="24"/>
        </w:rPr>
        <w:t>二、</w:t>
      </w:r>
      <w:r>
        <w:rPr>
          <w:rFonts w:hint="eastAsia" w:ascii="宋体" w:hAnsi="宋体"/>
          <w:sz w:val="24"/>
        </w:rPr>
        <w:t>磋商</w:t>
      </w:r>
      <w:r>
        <w:rPr>
          <w:rFonts w:ascii="宋体" w:hAnsi="宋体"/>
          <w:sz w:val="24"/>
        </w:rPr>
        <w:t>小组根据《符合性审查</w:t>
      </w:r>
      <w:r>
        <w:rPr>
          <w:rFonts w:hint="eastAsia" w:ascii="宋体" w:hAnsi="宋体"/>
          <w:sz w:val="24"/>
        </w:rPr>
        <w:t>要求</w:t>
      </w:r>
      <w:r>
        <w:rPr>
          <w:rFonts w:ascii="宋体" w:hAnsi="宋体"/>
          <w:sz w:val="24"/>
        </w:rPr>
        <w:t>》中规定的审查因素和审查内容，对供应商的</w:t>
      </w:r>
      <w:r>
        <w:rPr>
          <w:rFonts w:hint="eastAsia" w:ascii="宋体" w:hAnsi="宋体"/>
          <w:sz w:val="24"/>
        </w:rPr>
        <w:t>响应</w:t>
      </w:r>
      <w:r>
        <w:rPr>
          <w:rFonts w:ascii="宋体" w:hAnsi="宋体"/>
          <w:sz w:val="24"/>
        </w:rPr>
        <w:t>文件是否实质上响应</w:t>
      </w:r>
      <w:r>
        <w:rPr>
          <w:rFonts w:hint="eastAsia" w:ascii="宋体" w:hAnsi="宋体"/>
          <w:sz w:val="24"/>
        </w:rPr>
        <w:t>磋商</w:t>
      </w:r>
      <w:r>
        <w:rPr>
          <w:rFonts w:ascii="宋体" w:hAnsi="宋体"/>
          <w:sz w:val="24"/>
        </w:rPr>
        <w:t>文件进行符合性审查，并形成符合性审查评审结果。</w:t>
      </w:r>
      <w:r>
        <w:rPr>
          <w:rFonts w:hint="eastAsia" w:ascii="宋体" w:hAnsi="宋体"/>
          <w:sz w:val="24"/>
        </w:rPr>
        <w:t>响应文件不符合《</w:t>
      </w:r>
      <w:r>
        <w:rPr>
          <w:rFonts w:ascii="宋体" w:hAnsi="宋体"/>
          <w:sz w:val="24"/>
        </w:rPr>
        <w:t>符合性审查</w:t>
      </w:r>
      <w:r>
        <w:rPr>
          <w:rFonts w:hint="eastAsia" w:ascii="宋体" w:hAnsi="宋体"/>
          <w:sz w:val="24"/>
        </w:rPr>
        <w:t>要求》</w:t>
      </w:r>
      <w:bookmarkEnd w:id="359"/>
      <w:r>
        <w:rPr>
          <w:rFonts w:hint="eastAsia" w:ascii="宋体" w:hAnsi="宋体"/>
          <w:sz w:val="24"/>
        </w:rPr>
        <w:t>的，响应无效。</w:t>
      </w:r>
    </w:p>
    <w:p w14:paraId="73D1CFB2">
      <w:pPr>
        <w:tabs>
          <w:tab w:val="left" w:pos="360"/>
          <w:tab w:val="left" w:pos="900"/>
        </w:tabs>
        <w:spacing w:line="360" w:lineRule="auto"/>
        <w:jc w:val="center"/>
        <w:outlineLvl w:val="1"/>
        <w:rPr>
          <w:rFonts w:ascii="宋体" w:hAnsi="宋体"/>
          <w:b/>
          <w:sz w:val="32"/>
          <w:szCs w:val="32"/>
        </w:rPr>
      </w:pPr>
      <w:bookmarkStart w:id="360" w:name="_Toc152678555"/>
      <w:bookmarkStart w:id="361" w:name="_Toc31333"/>
      <w:bookmarkStart w:id="362" w:name="_Toc152678636"/>
      <w:bookmarkStart w:id="363" w:name="_Toc160609043"/>
      <w:bookmarkStart w:id="364" w:name="_Toc26312"/>
      <w:r>
        <w:rPr>
          <w:rFonts w:ascii="宋体" w:hAnsi="宋体"/>
          <w:b/>
          <w:sz w:val="32"/>
          <w:szCs w:val="32"/>
        </w:rPr>
        <w:t>第二节符合性审查及评审</w:t>
      </w:r>
      <w:r>
        <w:rPr>
          <w:rFonts w:hint="eastAsia" w:ascii="宋体" w:hAnsi="宋体"/>
          <w:b/>
          <w:sz w:val="32"/>
          <w:szCs w:val="32"/>
        </w:rPr>
        <w:t>要求</w:t>
      </w:r>
      <w:bookmarkEnd w:id="360"/>
      <w:bookmarkEnd w:id="361"/>
      <w:bookmarkEnd w:id="362"/>
      <w:bookmarkEnd w:id="363"/>
      <w:bookmarkEnd w:id="364"/>
    </w:p>
    <w:p w14:paraId="4C1BAE4D">
      <w:pPr>
        <w:pStyle w:val="337"/>
        <w:spacing w:line="360" w:lineRule="auto"/>
        <w:jc w:val="center"/>
        <w:rPr>
          <w:rFonts w:ascii="宋体" w:hAnsi="宋体"/>
          <w:color w:val="auto"/>
        </w:rPr>
      </w:pPr>
      <w:r>
        <w:rPr>
          <w:rFonts w:ascii="宋体" w:hAnsi="宋体"/>
          <w:b/>
          <w:color w:val="auto"/>
          <w:sz w:val="30"/>
          <w:szCs w:val="30"/>
        </w:rPr>
        <w:t>一、符合性审查要求</w:t>
      </w:r>
    </w:p>
    <w:tbl>
      <w:tblPr>
        <w:tblStyle w:val="49"/>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1818"/>
        <w:gridCol w:w="4291"/>
        <w:gridCol w:w="1892"/>
      </w:tblGrid>
      <w:tr w14:paraId="09E2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15" w:type="pct"/>
            <w:noWrap w:val="0"/>
            <w:vAlign w:val="center"/>
          </w:tcPr>
          <w:p w14:paraId="33C44535">
            <w:pPr>
              <w:widowControl/>
              <w:spacing w:line="360" w:lineRule="auto"/>
              <w:jc w:val="center"/>
              <w:rPr>
                <w:rFonts w:hint="eastAsia" w:ascii="宋体" w:hAnsi="宋体"/>
                <w:b/>
                <w:sz w:val="24"/>
              </w:rPr>
            </w:pPr>
            <w:bookmarkStart w:id="365" w:name="_Hlt487972895"/>
            <w:bookmarkEnd w:id="365"/>
            <w:r>
              <w:rPr>
                <w:rFonts w:ascii="宋体" w:hAnsi="宋体"/>
                <w:b/>
                <w:sz w:val="24"/>
              </w:rPr>
              <w:t>序号</w:t>
            </w:r>
          </w:p>
        </w:tc>
        <w:tc>
          <w:tcPr>
            <w:tcW w:w="1042" w:type="pct"/>
            <w:noWrap w:val="0"/>
            <w:vAlign w:val="center"/>
          </w:tcPr>
          <w:p w14:paraId="4B9246C2">
            <w:pPr>
              <w:widowControl/>
              <w:spacing w:line="360" w:lineRule="auto"/>
              <w:jc w:val="center"/>
              <w:rPr>
                <w:rFonts w:hint="eastAsia" w:ascii="宋体" w:hAnsi="宋体"/>
                <w:b/>
                <w:sz w:val="24"/>
              </w:rPr>
            </w:pPr>
            <w:r>
              <w:rPr>
                <w:rFonts w:ascii="宋体" w:hAnsi="宋体"/>
                <w:b/>
                <w:sz w:val="24"/>
              </w:rPr>
              <w:t>审查因素</w:t>
            </w:r>
          </w:p>
        </w:tc>
        <w:tc>
          <w:tcPr>
            <w:tcW w:w="2459" w:type="pct"/>
            <w:noWrap w:val="0"/>
            <w:vAlign w:val="center"/>
          </w:tcPr>
          <w:p w14:paraId="64101D41">
            <w:pPr>
              <w:widowControl/>
              <w:spacing w:line="360" w:lineRule="auto"/>
              <w:jc w:val="center"/>
              <w:rPr>
                <w:rFonts w:hint="eastAsia" w:ascii="宋体" w:hAnsi="宋体"/>
                <w:b/>
                <w:sz w:val="24"/>
              </w:rPr>
            </w:pPr>
            <w:r>
              <w:rPr>
                <w:rFonts w:ascii="宋体" w:hAnsi="宋体"/>
                <w:b/>
                <w:sz w:val="24"/>
              </w:rPr>
              <w:t>审查内容</w:t>
            </w:r>
          </w:p>
        </w:tc>
        <w:tc>
          <w:tcPr>
            <w:tcW w:w="1084" w:type="pct"/>
            <w:noWrap w:val="0"/>
            <w:vAlign w:val="center"/>
          </w:tcPr>
          <w:p w14:paraId="6D6C120E">
            <w:pPr>
              <w:widowControl/>
              <w:spacing w:line="360" w:lineRule="auto"/>
              <w:jc w:val="center"/>
              <w:rPr>
                <w:rFonts w:hint="eastAsia" w:ascii="宋体" w:hAnsi="宋体"/>
                <w:b/>
                <w:sz w:val="24"/>
              </w:rPr>
            </w:pPr>
            <w:r>
              <w:rPr>
                <w:rFonts w:hint="eastAsia" w:ascii="宋体" w:hAnsi="宋体"/>
                <w:b/>
                <w:sz w:val="24"/>
              </w:rPr>
              <w:t>格式要求</w:t>
            </w:r>
          </w:p>
        </w:tc>
      </w:tr>
      <w:tr w14:paraId="7620F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27B9F277">
            <w:pPr>
              <w:widowControl/>
              <w:spacing w:line="360" w:lineRule="auto"/>
              <w:jc w:val="center"/>
              <w:rPr>
                <w:rFonts w:hint="eastAsia" w:ascii="宋体" w:hAnsi="宋体"/>
                <w:sz w:val="24"/>
              </w:rPr>
            </w:pPr>
            <w:r>
              <w:rPr>
                <w:rFonts w:ascii="宋体" w:hAnsi="宋体"/>
                <w:sz w:val="24"/>
              </w:rPr>
              <w:t>1</w:t>
            </w:r>
          </w:p>
        </w:tc>
        <w:tc>
          <w:tcPr>
            <w:tcW w:w="1042" w:type="pct"/>
            <w:noWrap w:val="0"/>
            <w:vAlign w:val="center"/>
          </w:tcPr>
          <w:p w14:paraId="4CC1FFD2">
            <w:pPr>
              <w:widowControl/>
              <w:spacing w:line="360" w:lineRule="auto"/>
              <w:jc w:val="left"/>
              <w:rPr>
                <w:rFonts w:hint="eastAsia" w:ascii="宋体" w:hAnsi="宋体"/>
                <w:sz w:val="24"/>
              </w:rPr>
            </w:pPr>
            <w:r>
              <w:rPr>
                <w:rFonts w:hint="eastAsia" w:ascii="宋体" w:hAnsi="宋体"/>
                <w:sz w:val="24"/>
              </w:rPr>
              <w:t>响应函</w:t>
            </w:r>
          </w:p>
        </w:tc>
        <w:tc>
          <w:tcPr>
            <w:tcW w:w="2459" w:type="pct"/>
            <w:noWrap w:val="0"/>
            <w:vAlign w:val="center"/>
          </w:tcPr>
          <w:p w14:paraId="7FC2A377">
            <w:pPr>
              <w:widowControl/>
              <w:spacing w:line="360" w:lineRule="auto"/>
              <w:jc w:val="left"/>
              <w:rPr>
                <w:rFonts w:hint="eastAsia" w:ascii="宋体" w:hAnsi="宋体"/>
                <w:sz w:val="24"/>
              </w:rPr>
            </w:pPr>
            <w:r>
              <w:rPr>
                <w:rFonts w:hint="eastAsia" w:ascii="宋体" w:hAnsi="宋体"/>
                <w:sz w:val="24"/>
              </w:rPr>
              <w:t>响应函</w:t>
            </w:r>
            <w:r>
              <w:rPr>
                <w:rFonts w:ascii="宋体" w:hAnsi="宋体"/>
                <w:sz w:val="24"/>
              </w:rPr>
              <w:t>；</w:t>
            </w:r>
          </w:p>
        </w:tc>
        <w:tc>
          <w:tcPr>
            <w:tcW w:w="1084" w:type="pct"/>
            <w:noWrap w:val="0"/>
            <w:vAlign w:val="center"/>
          </w:tcPr>
          <w:p w14:paraId="3E56CC2D">
            <w:pPr>
              <w:widowControl/>
              <w:spacing w:line="360" w:lineRule="auto"/>
              <w:jc w:val="left"/>
              <w:rPr>
                <w:rFonts w:hint="eastAsia" w:ascii="宋体" w:hAnsi="宋体"/>
                <w:sz w:val="24"/>
              </w:rPr>
            </w:pPr>
            <w:r>
              <w:rPr>
                <w:rFonts w:ascii="宋体" w:hAnsi="宋体"/>
                <w:sz w:val="24"/>
              </w:rPr>
              <w:t>格式见《</w:t>
            </w:r>
            <w:r>
              <w:rPr>
                <w:rFonts w:hint="eastAsia" w:ascii="宋体" w:hAnsi="宋体"/>
                <w:sz w:val="24"/>
              </w:rPr>
              <w:t>响应</w:t>
            </w:r>
            <w:r>
              <w:rPr>
                <w:rFonts w:ascii="宋体" w:hAnsi="宋体"/>
                <w:sz w:val="24"/>
              </w:rPr>
              <w:t>文件格式》</w:t>
            </w:r>
          </w:p>
        </w:tc>
      </w:tr>
      <w:tr w14:paraId="1804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01B870EE">
            <w:pPr>
              <w:widowControl/>
              <w:spacing w:line="360" w:lineRule="auto"/>
              <w:jc w:val="center"/>
              <w:rPr>
                <w:rFonts w:hint="eastAsia" w:ascii="宋体" w:hAnsi="宋体"/>
                <w:sz w:val="24"/>
              </w:rPr>
            </w:pPr>
            <w:r>
              <w:rPr>
                <w:rFonts w:ascii="宋体" w:hAnsi="宋体"/>
                <w:sz w:val="24"/>
              </w:rPr>
              <w:t>2</w:t>
            </w:r>
          </w:p>
        </w:tc>
        <w:tc>
          <w:tcPr>
            <w:tcW w:w="1042" w:type="pct"/>
            <w:noWrap w:val="0"/>
            <w:vAlign w:val="center"/>
          </w:tcPr>
          <w:p w14:paraId="1CC9BF02">
            <w:pPr>
              <w:widowControl/>
              <w:spacing w:line="360" w:lineRule="auto"/>
              <w:jc w:val="left"/>
              <w:rPr>
                <w:rFonts w:hint="eastAsia" w:ascii="宋体" w:hAnsi="宋体"/>
                <w:sz w:val="24"/>
              </w:rPr>
            </w:pPr>
            <w:r>
              <w:rPr>
                <w:rFonts w:hint="eastAsia" w:ascii="宋体" w:hAnsi="宋体"/>
                <w:sz w:val="24"/>
              </w:rPr>
              <w:t>响应</w:t>
            </w:r>
            <w:r>
              <w:rPr>
                <w:rFonts w:ascii="宋体" w:hAnsi="宋体"/>
                <w:sz w:val="24"/>
              </w:rPr>
              <w:t>完整性</w:t>
            </w:r>
          </w:p>
        </w:tc>
        <w:tc>
          <w:tcPr>
            <w:tcW w:w="2459" w:type="pct"/>
            <w:noWrap w:val="0"/>
            <w:vAlign w:val="center"/>
          </w:tcPr>
          <w:p w14:paraId="17596709">
            <w:pPr>
              <w:widowControl/>
              <w:spacing w:line="360" w:lineRule="auto"/>
              <w:jc w:val="left"/>
              <w:rPr>
                <w:rFonts w:hint="eastAsia" w:ascii="宋体" w:hAnsi="宋体"/>
                <w:sz w:val="24"/>
              </w:rPr>
            </w:pPr>
            <w:r>
              <w:rPr>
                <w:rFonts w:hint="eastAsia" w:ascii="宋体" w:hAnsi="宋体"/>
                <w:sz w:val="24"/>
              </w:rPr>
              <w:t>报价明细表未有缺项、漏项；</w:t>
            </w:r>
          </w:p>
        </w:tc>
        <w:tc>
          <w:tcPr>
            <w:tcW w:w="1084" w:type="pct"/>
            <w:noWrap w:val="0"/>
            <w:vAlign w:val="center"/>
          </w:tcPr>
          <w:p w14:paraId="197BA147">
            <w:pPr>
              <w:widowControl/>
              <w:spacing w:line="360" w:lineRule="auto"/>
              <w:jc w:val="left"/>
              <w:rPr>
                <w:rFonts w:hint="eastAsia" w:ascii="宋体" w:hAnsi="宋体"/>
                <w:sz w:val="24"/>
              </w:rPr>
            </w:pPr>
            <w:r>
              <w:rPr>
                <w:rFonts w:ascii="宋体" w:hAnsi="宋体"/>
                <w:sz w:val="24"/>
              </w:rPr>
              <w:t>格式见《</w:t>
            </w:r>
            <w:r>
              <w:rPr>
                <w:rFonts w:hint="eastAsia" w:ascii="宋体" w:hAnsi="宋体"/>
                <w:sz w:val="24"/>
              </w:rPr>
              <w:t>报价</w:t>
            </w:r>
            <w:r>
              <w:rPr>
                <w:rFonts w:ascii="宋体" w:hAnsi="宋体"/>
                <w:sz w:val="24"/>
              </w:rPr>
              <w:t>明细表》</w:t>
            </w:r>
          </w:p>
        </w:tc>
      </w:tr>
      <w:tr w14:paraId="33E8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63A93990">
            <w:pPr>
              <w:widowControl/>
              <w:spacing w:line="360" w:lineRule="auto"/>
              <w:jc w:val="center"/>
              <w:rPr>
                <w:rFonts w:hint="eastAsia" w:ascii="宋体" w:hAnsi="宋体"/>
                <w:sz w:val="24"/>
              </w:rPr>
            </w:pPr>
            <w:r>
              <w:rPr>
                <w:rFonts w:ascii="宋体" w:hAnsi="宋体"/>
                <w:sz w:val="24"/>
              </w:rPr>
              <w:t>3</w:t>
            </w:r>
          </w:p>
        </w:tc>
        <w:tc>
          <w:tcPr>
            <w:tcW w:w="1042" w:type="pct"/>
            <w:noWrap w:val="0"/>
            <w:vAlign w:val="center"/>
          </w:tcPr>
          <w:p w14:paraId="1951752F">
            <w:pPr>
              <w:widowControl/>
              <w:spacing w:line="360" w:lineRule="auto"/>
              <w:jc w:val="left"/>
              <w:rPr>
                <w:rFonts w:hint="eastAsia" w:ascii="宋体" w:hAnsi="宋体"/>
                <w:sz w:val="24"/>
              </w:rPr>
            </w:pPr>
            <w:r>
              <w:rPr>
                <w:rFonts w:ascii="宋体" w:hAnsi="宋体"/>
                <w:sz w:val="24"/>
              </w:rPr>
              <w:t>报价</w:t>
            </w:r>
          </w:p>
        </w:tc>
        <w:tc>
          <w:tcPr>
            <w:tcW w:w="2459" w:type="pct"/>
            <w:noWrap w:val="0"/>
            <w:vAlign w:val="center"/>
          </w:tcPr>
          <w:p w14:paraId="0BB9F5EE">
            <w:pPr>
              <w:widowControl/>
              <w:spacing w:line="360" w:lineRule="auto"/>
              <w:jc w:val="left"/>
              <w:rPr>
                <w:rFonts w:hint="eastAsia" w:ascii="宋体" w:hAnsi="宋体"/>
                <w:sz w:val="24"/>
              </w:rPr>
            </w:pPr>
            <w:r>
              <w:rPr>
                <w:rFonts w:hint="eastAsia" w:ascii="宋体" w:hAnsi="宋体"/>
                <w:sz w:val="24"/>
              </w:rPr>
              <w:t>报价未超过最高限价或预算价的</w:t>
            </w:r>
            <w:r>
              <w:rPr>
                <w:rFonts w:ascii="宋体" w:hAnsi="宋体"/>
                <w:sz w:val="24"/>
              </w:rPr>
              <w:t>；</w:t>
            </w:r>
          </w:p>
        </w:tc>
        <w:tc>
          <w:tcPr>
            <w:tcW w:w="1084" w:type="pct"/>
            <w:noWrap w:val="0"/>
            <w:vAlign w:val="center"/>
          </w:tcPr>
          <w:p w14:paraId="121BAC38">
            <w:pPr>
              <w:widowControl/>
              <w:spacing w:line="360" w:lineRule="auto"/>
              <w:jc w:val="left"/>
              <w:rPr>
                <w:rFonts w:hint="eastAsia" w:ascii="宋体" w:hAnsi="宋体"/>
                <w:sz w:val="24"/>
              </w:rPr>
            </w:pPr>
          </w:p>
        </w:tc>
      </w:tr>
      <w:tr w14:paraId="4526A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48BC8EAB">
            <w:pPr>
              <w:widowControl/>
              <w:spacing w:line="360" w:lineRule="auto"/>
              <w:jc w:val="center"/>
              <w:rPr>
                <w:rFonts w:hint="eastAsia" w:ascii="宋体" w:hAnsi="宋体"/>
                <w:sz w:val="24"/>
              </w:rPr>
            </w:pPr>
            <w:r>
              <w:rPr>
                <w:rFonts w:ascii="宋体" w:hAnsi="宋体"/>
                <w:sz w:val="24"/>
              </w:rPr>
              <w:t>4</w:t>
            </w:r>
          </w:p>
        </w:tc>
        <w:tc>
          <w:tcPr>
            <w:tcW w:w="1042" w:type="pct"/>
            <w:noWrap w:val="0"/>
            <w:vAlign w:val="center"/>
          </w:tcPr>
          <w:p w14:paraId="5EA3C81E">
            <w:pPr>
              <w:widowControl/>
              <w:spacing w:line="360" w:lineRule="auto"/>
              <w:jc w:val="left"/>
              <w:rPr>
                <w:rFonts w:hint="eastAsia" w:ascii="宋体" w:hAnsi="宋体"/>
                <w:sz w:val="24"/>
              </w:rPr>
            </w:pPr>
            <w:r>
              <w:rPr>
                <w:rFonts w:ascii="宋体" w:hAnsi="宋体"/>
                <w:sz w:val="24"/>
              </w:rPr>
              <w:t>报价唯一性</w:t>
            </w:r>
          </w:p>
        </w:tc>
        <w:tc>
          <w:tcPr>
            <w:tcW w:w="2459" w:type="pct"/>
            <w:noWrap w:val="0"/>
            <w:vAlign w:val="center"/>
          </w:tcPr>
          <w:p w14:paraId="6E2D0289">
            <w:pPr>
              <w:widowControl/>
              <w:spacing w:line="360" w:lineRule="auto"/>
              <w:jc w:val="left"/>
              <w:rPr>
                <w:rFonts w:hint="eastAsia" w:ascii="宋体" w:hAnsi="宋体"/>
                <w:sz w:val="24"/>
              </w:rPr>
            </w:pPr>
            <w:r>
              <w:rPr>
                <w:rFonts w:hint="eastAsia" w:ascii="宋体" w:hAnsi="宋体"/>
                <w:sz w:val="24"/>
              </w:rPr>
              <w:t>响应</w:t>
            </w:r>
            <w:r>
              <w:rPr>
                <w:rFonts w:ascii="宋体" w:hAnsi="宋体"/>
                <w:sz w:val="24"/>
              </w:rPr>
              <w:t>文件</w:t>
            </w:r>
            <w:r>
              <w:rPr>
                <w:rFonts w:hint="eastAsia" w:ascii="宋体" w:hAnsi="宋体"/>
                <w:sz w:val="24"/>
              </w:rPr>
              <w:t>未出现可选择性或可调整的报价（磋商文件另有规定的除外）</w:t>
            </w:r>
            <w:r>
              <w:rPr>
                <w:rFonts w:ascii="宋体" w:hAnsi="宋体"/>
                <w:sz w:val="24"/>
              </w:rPr>
              <w:t>；</w:t>
            </w:r>
          </w:p>
        </w:tc>
        <w:tc>
          <w:tcPr>
            <w:tcW w:w="1084" w:type="pct"/>
            <w:noWrap w:val="0"/>
            <w:vAlign w:val="center"/>
          </w:tcPr>
          <w:p w14:paraId="2EE7FE96">
            <w:pPr>
              <w:widowControl/>
              <w:spacing w:line="360" w:lineRule="auto"/>
              <w:jc w:val="left"/>
              <w:rPr>
                <w:rFonts w:hint="eastAsia" w:ascii="宋体" w:hAnsi="宋体"/>
                <w:sz w:val="24"/>
              </w:rPr>
            </w:pPr>
          </w:p>
        </w:tc>
      </w:tr>
      <w:tr w14:paraId="7985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1FC5A6F2">
            <w:pPr>
              <w:widowControl/>
              <w:spacing w:line="360" w:lineRule="auto"/>
              <w:jc w:val="center"/>
              <w:rPr>
                <w:rFonts w:hint="eastAsia" w:ascii="宋体" w:hAnsi="宋体"/>
                <w:sz w:val="24"/>
              </w:rPr>
            </w:pPr>
            <w:r>
              <w:rPr>
                <w:rFonts w:ascii="宋体" w:hAnsi="宋体"/>
                <w:sz w:val="24"/>
              </w:rPr>
              <w:t>5</w:t>
            </w:r>
          </w:p>
        </w:tc>
        <w:tc>
          <w:tcPr>
            <w:tcW w:w="1042" w:type="pct"/>
            <w:noWrap w:val="0"/>
            <w:vAlign w:val="center"/>
          </w:tcPr>
          <w:p w14:paraId="27A0F6CB">
            <w:pPr>
              <w:widowControl/>
              <w:spacing w:line="360" w:lineRule="auto"/>
              <w:jc w:val="left"/>
              <w:rPr>
                <w:rFonts w:hint="eastAsia" w:ascii="宋体" w:hAnsi="宋体"/>
                <w:sz w:val="24"/>
              </w:rPr>
            </w:pPr>
            <w:r>
              <w:rPr>
                <w:rFonts w:hint="eastAsia" w:ascii="宋体" w:hAnsi="宋体"/>
                <w:sz w:val="24"/>
              </w:rPr>
              <w:t>响应</w:t>
            </w:r>
            <w:r>
              <w:rPr>
                <w:rFonts w:ascii="宋体" w:hAnsi="宋体"/>
                <w:sz w:val="24"/>
              </w:rPr>
              <w:t>有效期</w:t>
            </w:r>
          </w:p>
        </w:tc>
        <w:tc>
          <w:tcPr>
            <w:tcW w:w="2459" w:type="pct"/>
            <w:noWrap w:val="0"/>
            <w:vAlign w:val="center"/>
          </w:tcPr>
          <w:p w14:paraId="4642F41C">
            <w:pPr>
              <w:widowControl/>
              <w:spacing w:line="360" w:lineRule="auto"/>
              <w:jc w:val="left"/>
              <w:rPr>
                <w:rFonts w:hint="eastAsia" w:ascii="宋体" w:hAnsi="宋体"/>
                <w:sz w:val="24"/>
              </w:rPr>
            </w:pPr>
            <w:r>
              <w:rPr>
                <w:rFonts w:hint="eastAsia" w:ascii="宋体" w:hAnsi="宋体"/>
                <w:sz w:val="24"/>
              </w:rPr>
              <w:t>响应</w:t>
            </w:r>
            <w:r>
              <w:rPr>
                <w:rFonts w:ascii="宋体" w:hAnsi="宋体"/>
                <w:sz w:val="24"/>
              </w:rPr>
              <w:t>文件中承诺的</w:t>
            </w:r>
            <w:r>
              <w:rPr>
                <w:rFonts w:hint="eastAsia" w:ascii="宋体" w:hAnsi="宋体"/>
                <w:sz w:val="24"/>
              </w:rPr>
              <w:t>响应</w:t>
            </w:r>
            <w:r>
              <w:rPr>
                <w:rFonts w:ascii="宋体" w:hAnsi="宋体"/>
                <w:sz w:val="24"/>
              </w:rPr>
              <w:t>有效期</w:t>
            </w:r>
            <w:r>
              <w:rPr>
                <w:rFonts w:hint="eastAsia" w:ascii="宋体" w:hAnsi="宋体"/>
                <w:sz w:val="24"/>
              </w:rPr>
              <w:t>满足磋商</w:t>
            </w:r>
            <w:r>
              <w:rPr>
                <w:rFonts w:ascii="宋体" w:hAnsi="宋体"/>
                <w:sz w:val="24"/>
              </w:rPr>
              <w:t>文件中载明的</w:t>
            </w:r>
            <w:r>
              <w:rPr>
                <w:rFonts w:hint="eastAsia" w:ascii="宋体" w:hAnsi="宋体"/>
                <w:sz w:val="24"/>
              </w:rPr>
              <w:t>响应</w:t>
            </w:r>
            <w:r>
              <w:rPr>
                <w:rFonts w:ascii="宋体" w:hAnsi="宋体"/>
                <w:sz w:val="24"/>
              </w:rPr>
              <w:t>有效期的；</w:t>
            </w:r>
          </w:p>
        </w:tc>
        <w:tc>
          <w:tcPr>
            <w:tcW w:w="1084" w:type="pct"/>
            <w:noWrap w:val="0"/>
            <w:vAlign w:val="center"/>
          </w:tcPr>
          <w:p w14:paraId="5F725605">
            <w:pPr>
              <w:widowControl/>
              <w:spacing w:line="360" w:lineRule="auto"/>
              <w:jc w:val="left"/>
              <w:rPr>
                <w:rFonts w:hint="eastAsia" w:ascii="宋体" w:hAnsi="宋体"/>
                <w:sz w:val="24"/>
              </w:rPr>
            </w:pPr>
          </w:p>
        </w:tc>
      </w:tr>
      <w:tr w14:paraId="2A6D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7AF5A74B">
            <w:pPr>
              <w:widowControl/>
              <w:spacing w:line="360" w:lineRule="auto"/>
              <w:jc w:val="center"/>
              <w:rPr>
                <w:rFonts w:hint="eastAsia" w:ascii="宋体" w:hAnsi="宋体"/>
                <w:sz w:val="24"/>
              </w:rPr>
            </w:pPr>
            <w:r>
              <w:rPr>
                <w:rFonts w:ascii="宋体" w:hAnsi="宋体"/>
                <w:sz w:val="24"/>
              </w:rPr>
              <w:t>6</w:t>
            </w:r>
          </w:p>
        </w:tc>
        <w:tc>
          <w:tcPr>
            <w:tcW w:w="1042" w:type="pct"/>
            <w:noWrap w:val="0"/>
            <w:vAlign w:val="center"/>
          </w:tcPr>
          <w:p w14:paraId="2369C5B6">
            <w:pPr>
              <w:widowControl/>
              <w:spacing w:line="360" w:lineRule="auto"/>
              <w:jc w:val="left"/>
              <w:rPr>
                <w:rFonts w:hint="eastAsia" w:ascii="宋体" w:hAnsi="宋体"/>
                <w:sz w:val="24"/>
              </w:rPr>
            </w:pPr>
            <w:r>
              <w:rPr>
                <w:rFonts w:ascii="宋体" w:hAnsi="宋体"/>
                <w:sz w:val="24"/>
              </w:rPr>
              <w:t>签署、加盖公章</w:t>
            </w:r>
          </w:p>
        </w:tc>
        <w:tc>
          <w:tcPr>
            <w:tcW w:w="2459" w:type="pct"/>
            <w:noWrap w:val="0"/>
            <w:vAlign w:val="center"/>
          </w:tcPr>
          <w:p w14:paraId="13874A96">
            <w:pPr>
              <w:widowControl/>
              <w:spacing w:line="360" w:lineRule="auto"/>
              <w:jc w:val="left"/>
              <w:rPr>
                <w:rFonts w:hint="eastAsia" w:ascii="宋体" w:hAnsi="宋体"/>
                <w:sz w:val="24"/>
              </w:rPr>
            </w:pPr>
            <w:r>
              <w:rPr>
                <w:rFonts w:ascii="宋体" w:hAnsi="宋体"/>
                <w:sz w:val="24"/>
              </w:rPr>
              <w:t>按照磋商文件要求签署、加盖公章的；</w:t>
            </w:r>
          </w:p>
        </w:tc>
        <w:tc>
          <w:tcPr>
            <w:tcW w:w="1084" w:type="pct"/>
            <w:noWrap w:val="0"/>
            <w:vAlign w:val="center"/>
          </w:tcPr>
          <w:p w14:paraId="71D1FD69">
            <w:pPr>
              <w:widowControl/>
              <w:spacing w:line="360" w:lineRule="auto"/>
              <w:jc w:val="left"/>
              <w:rPr>
                <w:rFonts w:hint="eastAsia" w:ascii="宋体" w:hAnsi="宋体"/>
                <w:sz w:val="24"/>
              </w:rPr>
            </w:pPr>
          </w:p>
        </w:tc>
      </w:tr>
      <w:tr w14:paraId="4F97A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576A04E2">
            <w:pPr>
              <w:widowControl/>
              <w:spacing w:line="360" w:lineRule="auto"/>
              <w:jc w:val="center"/>
              <w:rPr>
                <w:rFonts w:hint="eastAsia" w:ascii="宋体" w:hAnsi="宋体"/>
                <w:sz w:val="24"/>
              </w:rPr>
            </w:pPr>
            <w:r>
              <w:rPr>
                <w:rFonts w:hint="eastAsia" w:ascii="宋体" w:hAnsi="宋体"/>
                <w:sz w:val="24"/>
              </w:rPr>
              <w:t>7</w:t>
            </w:r>
          </w:p>
        </w:tc>
        <w:tc>
          <w:tcPr>
            <w:tcW w:w="1042" w:type="pct"/>
            <w:noWrap w:val="0"/>
            <w:vAlign w:val="center"/>
          </w:tcPr>
          <w:p w14:paraId="4F3B652A">
            <w:pPr>
              <w:widowControl/>
              <w:spacing w:line="360" w:lineRule="auto"/>
              <w:jc w:val="left"/>
              <w:rPr>
                <w:rFonts w:hint="eastAsia" w:ascii="宋体" w:hAnsi="宋体"/>
                <w:sz w:val="24"/>
              </w:rPr>
            </w:pPr>
            <w:r>
              <w:rPr>
                <w:rFonts w:hint="eastAsia" w:ascii="宋体" w:hAnsi="宋体"/>
                <w:sz w:val="24"/>
              </w:rPr>
              <w:t>实质性格式</w:t>
            </w:r>
          </w:p>
        </w:tc>
        <w:tc>
          <w:tcPr>
            <w:tcW w:w="2459" w:type="pct"/>
            <w:noWrap w:val="0"/>
            <w:vAlign w:val="center"/>
          </w:tcPr>
          <w:p w14:paraId="1C3B5DA4">
            <w:pPr>
              <w:widowControl/>
              <w:spacing w:line="360" w:lineRule="auto"/>
              <w:jc w:val="left"/>
              <w:rPr>
                <w:rFonts w:hint="eastAsia" w:ascii="宋体" w:hAnsi="宋体"/>
                <w:sz w:val="24"/>
              </w:rPr>
            </w:pPr>
            <w:r>
              <w:rPr>
                <w:rFonts w:hint="eastAsia" w:ascii="宋体" w:hAnsi="宋体"/>
                <w:sz w:val="24"/>
              </w:rPr>
              <w:t>标记为</w:t>
            </w:r>
            <w:r>
              <w:rPr>
                <w:rFonts w:ascii="宋体" w:hAnsi="宋体"/>
                <w:sz w:val="24"/>
              </w:rPr>
              <w:t>“实质性格式”的</w:t>
            </w:r>
            <w:r>
              <w:rPr>
                <w:rFonts w:hint="eastAsia" w:ascii="宋体" w:hAnsi="宋体"/>
                <w:sz w:val="24"/>
              </w:rPr>
              <w:t>文件均按磋商</w:t>
            </w:r>
            <w:r>
              <w:rPr>
                <w:rFonts w:ascii="宋体" w:hAnsi="宋体"/>
                <w:sz w:val="24"/>
              </w:rPr>
              <w:t>文件</w:t>
            </w:r>
            <w:r>
              <w:rPr>
                <w:rFonts w:hint="eastAsia" w:ascii="宋体" w:hAnsi="宋体"/>
                <w:sz w:val="24"/>
              </w:rPr>
              <w:t>要求提供；</w:t>
            </w:r>
          </w:p>
        </w:tc>
        <w:tc>
          <w:tcPr>
            <w:tcW w:w="1084" w:type="pct"/>
            <w:noWrap w:val="0"/>
            <w:vAlign w:val="center"/>
          </w:tcPr>
          <w:p w14:paraId="503229A2">
            <w:pPr>
              <w:widowControl/>
              <w:spacing w:line="360" w:lineRule="auto"/>
              <w:jc w:val="left"/>
              <w:rPr>
                <w:rFonts w:hint="eastAsia" w:ascii="宋体" w:hAnsi="宋体"/>
                <w:sz w:val="24"/>
              </w:rPr>
            </w:pPr>
          </w:p>
        </w:tc>
      </w:tr>
      <w:tr w14:paraId="3409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7F011F77">
            <w:pPr>
              <w:widowControl/>
              <w:spacing w:line="360" w:lineRule="auto"/>
              <w:jc w:val="center"/>
              <w:rPr>
                <w:rFonts w:hint="eastAsia" w:ascii="宋体" w:hAnsi="宋体"/>
                <w:sz w:val="24"/>
              </w:rPr>
            </w:pPr>
            <w:r>
              <w:rPr>
                <w:rFonts w:ascii="宋体" w:hAnsi="宋体"/>
                <w:sz w:val="24"/>
              </w:rPr>
              <w:t>8</w:t>
            </w:r>
          </w:p>
        </w:tc>
        <w:tc>
          <w:tcPr>
            <w:tcW w:w="1042" w:type="pct"/>
            <w:noWrap w:val="0"/>
            <w:vAlign w:val="center"/>
          </w:tcPr>
          <w:p w14:paraId="380C16BC">
            <w:pPr>
              <w:widowControl/>
              <w:spacing w:line="360" w:lineRule="auto"/>
              <w:jc w:val="left"/>
              <w:rPr>
                <w:rFonts w:hint="eastAsia" w:ascii="宋体" w:hAnsi="宋体"/>
                <w:sz w:val="24"/>
              </w:rPr>
            </w:pPr>
            <w:r>
              <w:rPr>
                <w:rFonts w:ascii="宋体" w:hAnsi="宋体" w:cs="Segoe UI Symbol"/>
                <w:sz w:val="24"/>
              </w:rPr>
              <w:t>★</w:t>
            </w:r>
            <w:r>
              <w:rPr>
                <w:rFonts w:ascii="宋体" w:hAnsi="宋体"/>
                <w:sz w:val="24"/>
              </w:rPr>
              <w:t>号条款响应</w:t>
            </w:r>
          </w:p>
        </w:tc>
        <w:tc>
          <w:tcPr>
            <w:tcW w:w="2459" w:type="pct"/>
            <w:noWrap w:val="0"/>
            <w:vAlign w:val="center"/>
          </w:tcPr>
          <w:p w14:paraId="6748C61A">
            <w:pPr>
              <w:widowControl/>
              <w:spacing w:line="360" w:lineRule="auto"/>
              <w:jc w:val="left"/>
              <w:rPr>
                <w:rFonts w:hint="eastAsia" w:ascii="宋体" w:hAnsi="宋体"/>
                <w:sz w:val="24"/>
              </w:rPr>
            </w:pPr>
            <w:r>
              <w:rPr>
                <w:rFonts w:hint="eastAsia" w:ascii="宋体" w:hAnsi="宋体"/>
                <w:sz w:val="24"/>
              </w:rPr>
              <w:t>响应</w:t>
            </w:r>
            <w:r>
              <w:rPr>
                <w:rFonts w:ascii="宋体" w:hAnsi="宋体"/>
                <w:sz w:val="24"/>
              </w:rPr>
              <w:t>文件满足</w:t>
            </w:r>
            <w:r>
              <w:rPr>
                <w:rFonts w:hint="eastAsia" w:ascii="宋体" w:hAnsi="宋体"/>
                <w:sz w:val="24"/>
              </w:rPr>
              <w:t>磋商</w:t>
            </w:r>
            <w:r>
              <w:rPr>
                <w:rFonts w:ascii="宋体" w:hAnsi="宋体"/>
                <w:sz w:val="24"/>
              </w:rPr>
              <w:t>文件第五章《采购需求》中</w:t>
            </w:r>
            <w:r>
              <w:rPr>
                <w:rFonts w:ascii="宋体" w:hAnsi="宋体" w:cs="Segoe UI Symbol"/>
                <w:sz w:val="24"/>
              </w:rPr>
              <w:t>★</w:t>
            </w:r>
            <w:r>
              <w:rPr>
                <w:rFonts w:ascii="宋体" w:hAnsi="宋体"/>
                <w:sz w:val="24"/>
              </w:rPr>
              <w:t>号条款要求的；</w:t>
            </w:r>
          </w:p>
        </w:tc>
        <w:tc>
          <w:tcPr>
            <w:tcW w:w="1084" w:type="pct"/>
            <w:noWrap w:val="0"/>
            <w:vAlign w:val="center"/>
          </w:tcPr>
          <w:p w14:paraId="0FF4910D">
            <w:pPr>
              <w:widowControl/>
              <w:spacing w:line="360" w:lineRule="auto"/>
              <w:jc w:val="left"/>
              <w:rPr>
                <w:rFonts w:hint="eastAsia" w:ascii="宋体" w:hAnsi="宋体"/>
                <w:sz w:val="24"/>
              </w:rPr>
            </w:pPr>
          </w:p>
        </w:tc>
      </w:tr>
      <w:tr w14:paraId="4EDE4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5F06342E">
            <w:pPr>
              <w:widowControl/>
              <w:spacing w:line="360" w:lineRule="auto"/>
              <w:jc w:val="center"/>
              <w:rPr>
                <w:rFonts w:hint="eastAsia" w:ascii="宋体" w:hAnsi="宋体"/>
                <w:sz w:val="24"/>
              </w:rPr>
            </w:pPr>
            <w:r>
              <w:rPr>
                <w:rFonts w:ascii="宋体" w:hAnsi="宋体"/>
                <w:sz w:val="24"/>
              </w:rPr>
              <w:t>9</w:t>
            </w:r>
          </w:p>
        </w:tc>
        <w:tc>
          <w:tcPr>
            <w:tcW w:w="1042" w:type="pct"/>
            <w:noWrap w:val="0"/>
            <w:vAlign w:val="center"/>
          </w:tcPr>
          <w:p w14:paraId="79D45E53">
            <w:pPr>
              <w:widowControl/>
              <w:spacing w:line="360" w:lineRule="auto"/>
              <w:jc w:val="left"/>
              <w:rPr>
                <w:rFonts w:hint="eastAsia" w:ascii="宋体" w:hAnsi="宋体"/>
                <w:sz w:val="24"/>
              </w:rPr>
            </w:pPr>
            <w:r>
              <w:rPr>
                <w:rFonts w:ascii="宋体" w:hAnsi="宋体"/>
                <w:sz w:val="24"/>
              </w:rPr>
              <w:t>分包承担主体资质（如有）</w:t>
            </w:r>
          </w:p>
        </w:tc>
        <w:tc>
          <w:tcPr>
            <w:tcW w:w="2459" w:type="pct"/>
            <w:noWrap w:val="0"/>
            <w:vAlign w:val="center"/>
          </w:tcPr>
          <w:p w14:paraId="35257176">
            <w:pPr>
              <w:widowControl/>
              <w:spacing w:line="360" w:lineRule="auto"/>
              <w:jc w:val="left"/>
              <w:rPr>
                <w:rFonts w:hint="eastAsia" w:ascii="宋体" w:hAnsi="宋体"/>
                <w:sz w:val="24"/>
              </w:rPr>
            </w:pPr>
            <w:r>
              <w:rPr>
                <w:rFonts w:ascii="宋体" w:hAnsi="宋体"/>
                <w:sz w:val="24"/>
              </w:rPr>
              <w:t>分包承担主体具备《供应商须知资料表》载明的资质条件</w:t>
            </w:r>
            <w:r>
              <w:rPr>
                <w:rFonts w:hint="eastAsia" w:ascii="宋体" w:hAnsi="宋体"/>
                <w:sz w:val="24"/>
              </w:rPr>
              <w:t>且</w:t>
            </w:r>
            <w:r>
              <w:rPr>
                <w:rFonts w:ascii="宋体" w:hAnsi="宋体"/>
                <w:sz w:val="24"/>
              </w:rPr>
              <w:t>提供</w:t>
            </w:r>
            <w:r>
              <w:rPr>
                <w:rFonts w:hint="eastAsia" w:ascii="宋体" w:hAnsi="宋体"/>
                <w:sz w:val="24"/>
              </w:rPr>
              <w:t>了</w:t>
            </w:r>
            <w:r>
              <w:rPr>
                <w:rFonts w:ascii="宋体" w:hAnsi="宋体"/>
                <w:sz w:val="24"/>
              </w:rPr>
              <w:t>资质证书电子件</w:t>
            </w:r>
            <w:r>
              <w:rPr>
                <w:rFonts w:hint="eastAsia" w:ascii="宋体" w:hAnsi="宋体"/>
                <w:sz w:val="24"/>
              </w:rPr>
              <w:t>（如有）</w:t>
            </w:r>
            <w:r>
              <w:rPr>
                <w:rFonts w:ascii="宋体" w:hAnsi="宋体"/>
                <w:sz w:val="24"/>
              </w:rPr>
              <w:t>；</w:t>
            </w:r>
          </w:p>
        </w:tc>
        <w:tc>
          <w:tcPr>
            <w:tcW w:w="1084" w:type="pct"/>
            <w:noWrap w:val="0"/>
            <w:vAlign w:val="center"/>
          </w:tcPr>
          <w:p w14:paraId="5F2E6893">
            <w:pPr>
              <w:widowControl/>
              <w:spacing w:line="360" w:lineRule="auto"/>
              <w:jc w:val="left"/>
              <w:rPr>
                <w:rFonts w:hint="eastAsia" w:ascii="宋体" w:hAnsi="宋体"/>
                <w:sz w:val="24"/>
              </w:rPr>
            </w:pPr>
          </w:p>
        </w:tc>
      </w:tr>
      <w:tr w14:paraId="30C1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49DC5BA3">
            <w:pPr>
              <w:widowControl/>
              <w:spacing w:line="360" w:lineRule="auto"/>
              <w:jc w:val="center"/>
              <w:rPr>
                <w:rFonts w:hint="eastAsia" w:ascii="宋体" w:hAnsi="宋体"/>
                <w:sz w:val="24"/>
              </w:rPr>
            </w:pPr>
            <w:r>
              <w:rPr>
                <w:rFonts w:ascii="宋体" w:hAnsi="宋体"/>
                <w:sz w:val="24"/>
              </w:rPr>
              <w:t>10</w:t>
            </w:r>
          </w:p>
        </w:tc>
        <w:tc>
          <w:tcPr>
            <w:tcW w:w="1042" w:type="pct"/>
            <w:noWrap w:val="0"/>
            <w:vAlign w:val="center"/>
          </w:tcPr>
          <w:p w14:paraId="21E462E0">
            <w:pPr>
              <w:widowControl/>
              <w:spacing w:line="360" w:lineRule="auto"/>
              <w:jc w:val="left"/>
              <w:rPr>
                <w:rFonts w:hint="eastAsia" w:ascii="宋体" w:hAnsi="宋体"/>
                <w:sz w:val="24"/>
              </w:rPr>
            </w:pPr>
            <w:r>
              <w:rPr>
                <w:rFonts w:ascii="宋体" w:hAnsi="宋体"/>
                <w:sz w:val="24"/>
              </w:rPr>
              <w:t>分包意向协议（如有）</w:t>
            </w:r>
          </w:p>
        </w:tc>
        <w:tc>
          <w:tcPr>
            <w:tcW w:w="2459" w:type="pct"/>
            <w:noWrap w:val="0"/>
            <w:vAlign w:val="center"/>
          </w:tcPr>
          <w:p w14:paraId="6B0A75D9">
            <w:pPr>
              <w:widowControl/>
              <w:spacing w:line="360" w:lineRule="auto"/>
              <w:jc w:val="left"/>
              <w:rPr>
                <w:rFonts w:hint="eastAsia" w:ascii="宋体" w:hAnsi="宋体"/>
                <w:sz w:val="24"/>
              </w:rPr>
            </w:pPr>
            <w:r>
              <w:rPr>
                <w:rFonts w:ascii="宋体" w:hAnsi="宋体"/>
                <w:sz w:val="24"/>
              </w:rPr>
              <w:t>按</w:t>
            </w:r>
            <w:r>
              <w:rPr>
                <w:rFonts w:hint="eastAsia" w:ascii="宋体" w:hAnsi="宋体"/>
                <w:sz w:val="24"/>
              </w:rPr>
              <w:t>磋商</w:t>
            </w:r>
            <w:r>
              <w:rPr>
                <w:rFonts w:ascii="宋体" w:hAnsi="宋体"/>
                <w:sz w:val="24"/>
              </w:rPr>
              <w:t>文件规定签订并提供分包意向协议原件的电子件的；</w:t>
            </w:r>
            <w:r>
              <w:rPr>
                <w:rFonts w:hint="eastAsia" w:ascii="宋体" w:hAnsi="宋体"/>
                <w:sz w:val="24"/>
              </w:rPr>
              <w:t>（如有）</w:t>
            </w:r>
          </w:p>
        </w:tc>
        <w:tc>
          <w:tcPr>
            <w:tcW w:w="1084" w:type="pct"/>
            <w:noWrap w:val="0"/>
            <w:vAlign w:val="center"/>
          </w:tcPr>
          <w:p w14:paraId="5F733148">
            <w:pPr>
              <w:widowControl/>
              <w:spacing w:line="360" w:lineRule="auto"/>
              <w:jc w:val="left"/>
              <w:rPr>
                <w:rFonts w:hint="eastAsia" w:ascii="宋体" w:hAnsi="宋体"/>
                <w:sz w:val="24"/>
              </w:rPr>
            </w:pPr>
          </w:p>
        </w:tc>
      </w:tr>
      <w:tr w14:paraId="60DC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391D0F16">
            <w:pPr>
              <w:widowControl/>
              <w:spacing w:line="360" w:lineRule="auto"/>
              <w:jc w:val="center"/>
              <w:rPr>
                <w:rFonts w:hint="eastAsia" w:ascii="宋体" w:hAnsi="宋体"/>
                <w:sz w:val="24"/>
              </w:rPr>
            </w:pPr>
            <w:r>
              <w:rPr>
                <w:rFonts w:ascii="宋体" w:hAnsi="宋体"/>
                <w:sz w:val="24"/>
              </w:rPr>
              <w:t>11</w:t>
            </w:r>
          </w:p>
        </w:tc>
        <w:tc>
          <w:tcPr>
            <w:tcW w:w="1042" w:type="pct"/>
            <w:noWrap w:val="0"/>
            <w:vAlign w:val="center"/>
          </w:tcPr>
          <w:p w14:paraId="6CAD3FE1">
            <w:pPr>
              <w:widowControl/>
              <w:spacing w:line="360" w:lineRule="auto"/>
              <w:jc w:val="left"/>
              <w:rPr>
                <w:rFonts w:hint="eastAsia" w:ascii="宋体" w:hAnsi="宋体"/>
                <w:sz w:val="24"/>
              </w:rPr>
            </w:pPr>
            <w:r>
              <w:rPr>
                <w:rFonts w:ascii="宋体" w:hAnsi="宋体"/>
                <w:sz w:val="24"/>
              </w:rPr>
              <w:t>报价的修正（如有）</w:t>
            </w:r>
          </w:p>
        </w:tc>
        <w:tc>
          <w:tcPr>
            <w:tcW w:w="2459" w:type="pct"/>
            <w:noWrap w:val="0"/>
            <w:vAlign w:val="center"/>
          </w:tcPr>
          <w:p w14:paraId="50B8E441">
            <w:pPr>
              <w:widowControl/>
              <w:spacing w:line="360" w:lineRule="auto"/>
              <w:jc w:val="left"/>
              <w:rPr>
                <w:rFonts w:hint="eastAsia" w:ascii="宋体" w:hAnsi="宋体"/>
                <w:sz w:val="24"/>
              </w:rPr>
            </w:pPr>
            <w:r>
              <w:rPr>
                <w:rFonts w:hint="eastAsia" w:ascii="宋体" w:hAnsi="宋体"/>
                <w:sz w:val="24"/>
              </w:rPr>
              <w:t>不涉及报价修正</w:t>
            </w:r>
            <w:r>
              <w:rPr>
                <w:rFonts w:ascii="宋体" w:hAnsi="宋体"/>
                <w:sz w:val="24"/>
              </w:rPr>
              <w:t>，或</w:t>
            </w:r>
            <w:r>
              <w:rPr>
                <w:rFonts w:hint="eastAsia" w:ascii="宋体" w:hAnsi="宋体"/>
                <w:sz w:val="24"/>
              </w:rPr>
              <w:t>响应</w:t>
            </w:r>
            <w:r>
              <w:rPr>
                <w:rFonts w:ascii="宋体" w:hAnsi="宋体"/>
                <w:sz w:val="24"/>
              </w:rPr>
              <w:t>文件报价出现前后不一致</w:t>
            </w:r>
            <w:r>
              <w:rPr>
                <w:rFonts w:hint="eastAsia" w:ascii="宋体" w:hAnsi="宋体"/>
                <w:sz w:val="24"/>
              </w:rPr>
              <w:t>时</w:t>
            </w:r>
            <w:r>
              <w:rPr>
                <w:rFonts w:ascii="宋体" w:hAnsi="宋体"/>
                <w:sz w:val="24"/>
              </w:rPr>
              <w:t>，</w:t>
            </w:r>
            <w:r>
              <w:rPr>
                <w:rFonts w:hint="eastAsia" w:ascii="宋体" w:hAnsi="宋体"/>
                <w:sz w:val="24"/>
              </w:rPr>
              <w:t>供应商</w:t>
            </w:r>
            <w:r>
              <w:rPr>
                <w:rFonts w:ascii="宋体" w:hAnsi="宋体"/>
                <w:sz w:val="24"/>
              </w:rPr>
              <w:t>对修正后的报价予</w:t>
            </w:r>
            <w:r>
              <w:rPr>
                <w:rFonts w:hint="eastAsia" w:ascii="宋体" w:hAnsi="宋体"/>
                <w:sz w:val="24"/>
              </w:rPr>
              <w:t>以</w:t>
            </w:r>
            <w:r>
              <w:rPr>
                <w:rFonts w:ascii="宋体" w:hAnsi="宋体"/>
                <w:sz w:val="24"/>
              </w:rPr>
              <w:t>确认；（如有）</w:t>
            </w:r>
          </w:p>
        </w:tc>
        <w:tc>
          <w:tcPr>
            <w:tcW w:w="1084" w:type="pct"/>
            <w:noWrap w:val="0"/>
            <w:vAlign w:val="center"/>
          </w:tcPr>
          <w:p w14:paraId="4B734682">
            <w:pPr>
              <w:widowControl/>
              <w:spacing w:line="360" w:lineRule="auto"/>
              <w:jc w:val="left"/>
              <w:rPr>
                <w:rFonts w:hint="eastAsia" w:ascii="宋体" w:hAnsi="宋体"/>
                <w:sz w:val="24"/>
              </w:rPr>
            </w:pPr>
          </w:p>
        </w:tc>
      </w:tr>
      <w:tr w14:paraId="46FC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688FD493">
            <w:pPr>
              <w:widowControl/>
              <w:spacing w:line="360" w:lineRule="auto"/>
              <w:jc w:val="center"/>
              <w:rPr>
                <w:rFonts w:hint="eastAsia" w:ascii="宋体" w:hAnsi="宋体"/>
                <w:sz w:val="24"/>
              </w:rPr>
            </w:pPr>
            <w:r>
              <w:rPr>
                <w:rFonts w:ascii="宋体" w:hAnsi="宋体"/>
                <w:sz w:val="24"/>
              </w:rPr>
              <w:t>12</w:t>
            </w:r>
          </w:p>
        </w:tc>
        <w:tc>
          <w:tcPr>
            <w:tcW w:w="1042" w:type="pct"/>
            <w:noWrap w:val="0"/>
            <w:vAlign w:val="center"/>
          </w:tcPr>
          <w:p w14:paraId="4C367C72">
            <w:pPr>
              <w:widowControl/>
              <w:spacing w:line="360" w:lineRule="auto"/>
              <w:jc w:val="left"/>
              <w:rPr>
                <w:rFonts w:hint="eastAsia" w:ascii="宋体" w:hAnsi="宋体"/>
                <w:sz w:val="24"/>
              </w:rPr>
            </w:pPr>
            <w:r>
              <w:rPr>
                <w:rFonts w:ascii="宋体" w:hAnsi="宋体"/>
                <w:sz w:val="24"/>
              </w:rPr>
              <w:t>报价合理性</w:t>
            </w:r>
          </w:p>
        </w:tc>
        <w:tc>
          <w:tcPr>
            <w:tcW w:w="2459" w:type="pct"/>
            <w:noWrap w:val="0"/>
            <w:vAlign w:val="center"/>
          </w:tcPr>
          <w:p w14:paraId="10D8916B">
            <w:pPr>
              <w:widowControl/>
              <w:spacing w:line="360" w:lineRule="auto"/>
              <w:jc w:val="left"/>
              <w:rPr>
                <w:rFonts w:hint="eastAsia" w:ascii="宋体" w:hAnsi="宋体"/>
                <w:sz w:val="24"/>
              </w:rPr>
            </w:pPr>
            <w:r>
              <w:rPr>
                <w:rFonts w:hint="eastAsia" w:ascii="宋体" w:hAnsi="宋体"/>
                <w:sz w:val="24"/>
              </w:rPr>
              <w:t>根据江苏省财政厅《关于推动解决政府采购异常低价问题相关工作的通知》苏财购【2025】62号文件之规定：当评审过程中出现下列情形之一的，评审委员会应当启动异常低价投标（响应）审查程序：</w:t>
            </w:r>
          </w:p>
          <w:p w14:paraId="031C5E0B">
            <w:pPr>
              <w:widowControl/>
              <w:spacing w:line="360" w:lineRule="auto"/>
              <w:jc w:val="left"/>
              <w:rPr>
                <w:rFonts w:hint="eastAsia" w:ascii="宋体" w:hAnsi="宋体"/>
                <w:sz w:val="24"/>
              </w:rPr>
            </w:pPr>
            <w:r>
              <w:rPr>
                <w:rFonts w:hint="eastAsia" w:ascii="宋体" w:hAnsi="宋体"/>
                <w:sz w:val="24"/>
              </w:rPr>
              <w:t>1、投标（响应）报价低于采购项目预算50%的，即投标（响应）报价＜采购项目预算×50%；</w:t>
            </w:r>
          </w:p>
          <w:p w14:paraId="2D2C5160">
            <w:pPr>
              <w:widowControl/>
              <w:spacing w:line="360" w:lineRule="auto"/>
              <w:jc w:val="left"/>
              <w:rPr>
                <w:rFonts w:hint="eastAsia" w:ascii="宋体" w:hAnsi="宋体"/>
                <w:sz w:val="24"/>
              </w:rPr>
            </w:pPr>
            <w:r>
              <w:rPr>
                <w:rFonts w:hint="eastAsia" w:ascii="宋体" w:hAnsi="宋体"/>
                <w:sz w:val="24"/>
              </w:rPr>
              <w:t>2、投标（响应）报价低于采购项目最高限价45%的，即投标（响应）报价＜采购项目最高限价×45%；</w:t>
            </w:r>
          </w:p>
          <w:p w14:paraId="504161C5">
            <w:pPr>
              <w:widowControl/>
              <w:spacing w:line="360" w:lineRule="auto"/>
              <w:jc w:val="left"/>
              <w:rPr>
                <w:rFonts w:hint="eastAsia" w:ascii="宋体" w:hAnsi="宋体"/>
                <w:sz w:val="24"/>
              </w:rPr>
            </w:pPr>
            <w:r>
              <w:rPr>
                <w:rFonts w:hint="eastAsia" w:ascii="宋体" w:hAnsi="宋体"/>
                <w:sz w:val="24"/>
              </w:rPr>
              <w:t>3、评审委员会认定的供应商报价过低、有可能影响产品质量或者不能诚信履约的其他情形。</w:t>
            </w:r>
          </w:p>
          <w:p w14:paraId="5C5E420F">
            <w:pPr>
              <w:widowControl/>
              <w:spacing w:line="360" w:lineRule="auto"/>
              <w:jc w:val="left"/>
              <w:rPr>
                <w:rFonts w:hint="eastAsia" w:ascii="宋体" w:hAnsi="宋体"/>
                <w:sz w:val="24"/>
              </w:rPr>
            </w:pPr>
            <w:r>
              <w:rPr>
                <w:rFonts w:hint="eastAsia" w:ascii="宋体" w:hAnsi="宋体"/>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c>
          <w:tcPr>
            <w:tcW w:w="1084" w:type="pct"/>
            <w:noWrap w:val="0"/>
            <w:vAlign w:val="center"/>
          </w:tcPr>
          <w:p w14:paraId="7523AFE6">
            <w:pPr>
              <w:widowControl/>
              <w:spacing w:line="360" w:lineRule="auto"/>
              <w:jc w:val="left"/>
              <w:rPr>
                <w:rFonts w:hint="eastAsia" w:ascii="宋体" w:hAnsi="宋体"/>
                <w:sz w:val="24"/>
              </w:rPr>
            </w:pPr>
          </w:p>
        </w:tc>
      </w:tr>
      <w:tr w14:paraId="3846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60614FB8">
            <w:pPr>
              <w:widowControl/>
              <w:spacing w:line="360" w:lineRule="auto"/>
              <w:jc w:val="center"/>
              <w:rPr>
                <w:rFonts w:hint="eastAsia" w:ascii="宋体" w:hAnsi="宋体"/>
                <w:sz w:val="24"/>
              </w:rPr>
            </w:pPr>
            <w:r>
              <w:rPr>
                <w:rFonts w:ascii="宋体" w:hAnsi="宋体"/>
                <w:sz w:val="24"/>
              </w:rPr>
              <w:t>13</w:t>
            </w:r>
          </w:p>
        </w:tc>
        <w:tc>
          <w:tcPr>
            <w:tcW w:w="1042" w:type="pct"/>
            <w:noWrap w:val="0"/>
            <w:vAlign w:val="center"/>
          </w:tcPr>
          <w:p w14:paraId="17C5FBE5">
            <w:pPr>
              <w:widowControl/>
              <w:spacing w:line="360" w:lineRule="auto"/>
              <w:jc w:val="center"/>
              <w:rPr>
                <w:rFonts w:hint="eastAsia" w:ascii="宋体" w:hAnsi="宋体"/>
                <w:sz w:val="24"/>
              </w:rPr>
            </w:pPr>
            <w:r>
              <w:rPr>
                <w:rFonts w:ascii="宋体" w:hAnsi="宋体"/>
                <w:sz w:val="24"/>
              </w:rPr>
              <w:t>进口产品（如有）</w:t>
            </w:r>
          </w:p>
        </w:tc>
        <w:tc>
          <w:tcPr>
            <w:tcW w:w="2459" w:type="pct"/>
            <w:noWrap w:val="0"/>
            <w:vAlign w:val="center"/>
          </w:tcPr>
          <w:p w14:paraId="1F43F114">
            <w:pPr>
              <w:widowControl/>
              <w:spacing w:line="360" w:lineRule="auto"/>
              <w:jc w:val="left"/>
              <w:rPr>
                <w:rFonts w:hint="eastAsia" w:ascii="宋体" w:hAnsi="宋体"/>
                <w:sz w:val="24"/>
              </w:rPr>
            </w:pPr>
            <w:r>
              <w:rPr>
                <w:rFonts w:hint="eastAsia" w:ascii="宋体" w:hAnsi="宋体"/>
                <w:sz w:val="24"/>
              </w:rPr>
              <w:t>磋商文件</w:t>
            </w:r>
            <w:r>
              <w:rPr>
                <w:rFonts w:ascii="宋体" w:hAnsi="宋体"/>
                <w:sz w:val="24"/>
              </w:rPr>
              <w:t>不接受进口产品响应</w:t>
            </w:r>
            <w:r>
              <w:rPr>
                <w:rFonts w:hint="eastAsia" w:ascii="宋体" w:hAnsi="宋体"/>
                <w:sz w:val="24"/>
              </w:rPr>
              <w:t>的内容时</w:t>
            </w:r>
            <w:r>
              <w:rPr>
                <w:rFonts w:ascii="宋体" w:hAnsi="宋体"/>
                <w:sz w:val="24"/>
              </w:rPr>
              <w:t>，</w:t>
            </w:r>
            <w:r>
              <w:rPr>
                <w:rFonts w:hint="eastAsia" w:ascii="宋体" w:hAnsi="宋体"/>
                <w:sz w:val="24"/>
              </w:rPr>
              <w:t>供应商所投产品非进口产品的；</w:t>
            </w:r>
          </w:p>
        </w:tc>
        <w:tc>
          <w:tcPr>
            <w:tcW w:w="1084" w:type="pct"/>
            <w:noWrap w:val="0"/>
            <w:vAlign w:val="center"/>
          </w:tcPr>
          <w:p w14:paraId="1DC9AD2B">
            <w:pPr>
              <w:widowControl/>
              <w:spacing w:line="360" w:lineRule="auto"/>
              <w:jc w:val="left"/>
              <w:rPr>
                <w:rFonts w:hint="eastAsia" w:ascii="宋体" w:hAnsi="宋体"/>
                <w:sz w:val="24"/>
              </w:rPr>
            </w:pPr>
          </w:p>
        </w:tc>
      </w:tr>
      <w:tr w14:paraId="5423F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2C57506D">
            <w:pPr>
              <w:widowControl/>
              <w:spacing w:line="360" w:lineRule="auto"/>
              <w:jc w:val="center"/>
              <w:rPr>
                <w:rFonts w:hint="eastAsia" w:ascii="宋体" w:hAnsi="宋体"/>
                <w:sz w:val="24"/>
              </w:rPr>
            </w:pPr>
            <w:r>
              <w:rPr>
                <w:rFonts w:ascii="宋体" w:hAnsi="宋体"/>
                <w:sz w:val="24"/>
              </w:rPr>
              <w:t>14</w:t>
            </w:r>
          </w:p>
        </w:tc>
        <w:tc>
          <w:tcPr>
            <w:tcW w:w="1042" w:type="pct"/>
            <w:noWrap w:val="0"/>
            <w:vAlign w:val="center"/>
          </w:tcPr>
          <w:p w14:paraId="66BB5FA1">
            <w:pPr>
              <w:widowControl/>
              <w:spacing w:line="360" w:lineRule="auto"/>
              <w:ind w:right="-46"/>
              <w:jc w:val="left"/>
              <w:rPr>
                <w:rFonts w:hint="eastAsia" w:ascii="宋体" w:hAnsi="宋体"/>
                <w:sz w:val="24"/>
              </w:rPr>
            </w:pPr>
            <w:r>
              <w:rPr>
                <w:rFonts w:ascii="宋体" w:hAnsi="宋体"/>
                <w:sz w:val="24"/>
              </w:rPr>
              <w:t>国家有关部门对供应商的响应产品有强制性规定或要求的</w:t>
            </w:r>
          </w:p>
        </w:tc>
        <w:tc>
          <w:tcPr>
            <w:tcW w:w="2459" w:type="pct"/>
            <w:noWrap w:val="0"/>
            <w:vAlign w:val="center"/>
          </w:tcPr>
          <w:p w14:paraId="468BA304">
            <w:pPr>
              <w:widowControl/>
              <w:spacing w:line="360" w:lineRule="auto"/>
              <w:jc w:val="left"/>
              <w:rPr>
                <w:rFonts w:hint="eastAsia" w:ascii="宋体" w:hAnsi="宋体"/>
                <w:sz w:val="24"/>
              </w:rPr>
            </w:pPr>
            <w:r>
              <w:rPr>
                <w:rFonts w:ascii="宋体" w:hAnsi="宋体"/>
                <w:sz w:val="24"/>
              </w:rPr>
              <w:t>国家有关部门对供应商的响应产品有强制性规定或要求的（如相应技术、安全、节能和环保等），供应商的响应产品</w:t>
            </w:r>
            <w:r>
              <w:rPr>
                <w:rFonts w:hint="eastAsia" w:ascii="宋体" w:hAnsi="宋体"/>
                <w:sz w:val="24"/>
              </w:rPr>
              <w:t>应</w:t>
            </w:r>
            <w:r>
              <w:rPr>
                <w:rFonts w:ascii="宋体" w:hAnsi="宋体"/>
                <w:sz w:val="24"/>
              </w:rPr>
              <w:t>符合相应规定或要求</w:t>
            </w:r>
            <w:r>
              <w:rPr>
                <w:rFonts w:hint="eastAsia" w:ascii="宋体" w:hAnsi="宋体"/>
                <w:sz w:val="24"/>
              </w:rPr>
              <w:t>，并提供证明文件电子件：</w:t>
            </w:r>
            <w:r>
              <w:rPr>
                <w:rFonts w:ascii="宋体" w:hAnsi="宋体"/>
                <w:sz w:val="24"/>
              </w:rPr>
              <w:t>采购的产品若属于《节能产品政府采购品目清单》范围中政府强制采购产品，则供应商所报产品必须获得国家确定的认证机构出具的、处于有效期之内的节能产品认证证书；</w:t>
            </w:r>
          </w:p>
        </w:tc>
        <w:tc>
          <w:tcPr>
            <w:tcW w:w="1084" w:type="pct"/>
            <w:noWrap w:val="0"/>
            <w:vAlign w:val="center"/>
          </w:tcPr>
          <w:p w14:paraId="38644F04">
            <w:pPr>
              <w:widowControl/>
              <w:spacing w:line="360" w:lineRule="auto"/>
              <w:jc w:val="left"/>
              <w:rPr>
                <w:rFonts w:hint="eastAsia" w:ascii="宋体" w:hAnsi="宋体"/>
                <w:sz w:val="24"/>
              </w:rPr>
            </w:pPr>
          </w:p>
        </w:tc>
      </w:tr>
      <w:tr w14:paraId="3192B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3E0B40F2">
            <w:pPr>
              <w:widowControl/>
              <w:spacing w:line="360" w:lineRule="auto"/>
              <w:jc w:val="center"/>
              <w:rPr>
                <w:rFonts w:hint="eastAsia" w:ascii="宋体" w:hAnsi="宋体"/>
                <w:sz w:val="24"/>
              </w:rPr>
            </w:pPr>
            <w:r>
              <w:rPr>
                <w:rFonts w:ascii="宋体" w:hAnsi="宋体"/>
                <w:sz w:val="24"/>
              </w:rPr>
              <w:t>15</w:t>
            </w:r>
          </w:p>
        </w:tc>
        <w:tc>
          <w:tcPr>
            <w:tcW w:w="1042" w:type="pct"/>
            <w:noWrap w:val="0"/>
            <w:vAlign w:val="center"/>
          </w:tcPr>
          <w:p w14:paraId="392CFA6E">
            <w:pPr>
              <w:widowControl/>
              <w:spacing w:line="360" w:lineRule="auto"/>
              <w:ind w:right="-46"/>
              <w:jc w:val="center"/>
              <w:rPr>
                <w:rFonts w:hint="eastAsia" w:ascii="宋体" w:hAnsi="宋体"/>
                <w:sz w:val="24"/>
              </w:rPr>
            </w:pPr>
            <w:r>
              <w:rPr>
                <w:rFonts w:ascii="宋体" w:hAnsi="宋体"/>
                <w:sz w:val="24"/>
              </w:rPr>
              <w:t>公平竞争</w:t>
            </w:r>
          </w:p>
        </w:tc>
        <w:tc>
          <w:tcPr>
            <w:tcW w:w="2459" w:type="pct"/>
            <w:noWrap w:val="0"/>
            <w:vAlign w:val="center"/>
          </w:tcPr>
          <w:p w14:paraId="392CD96E">
            <w:pPr>
              <w:widowControl/>
              <w:spacing w:line="360" w:lineRule="auto"/>
              <w:jc w:val="left"/>
              <w:rPr>
                <w:rFonts w:hint="eastAsia" w:ascii="宋体" w:hAnsi="宋体"/>
                <w:sz w:val="24"/>
              </w:rPr>
            </w:pPr>
            <w:r>
              <w:rPr>
                <w:rFonts w:ascii="宋体" w:hAnsi="宋体"/>
                <w:sz w:val="24"/>
              </w:rPr>
              <w:t>供应商遵循公平竞争的原则，不存在恶意串通，妨碍其他供应商的竞争行为，不存在损害采购人或者其他供应商的合法权益情形的；</w:t>
            </w:r>
          </w:p>
        </w:tc>
        <w:tc>
          <w:tcPr>
            <w:tcW w:w="1084" w:type="pct"/>
            <w:noWrap w:val="0"/>
            <w:vAlign w:val="center"/>
          </w:tcPr>
          <w:p w14:paraId="353D9D1D">
            <w:pPr>
              <w:widowControl/>
              <w:spacing w:line="360" w:lineRule="auto"/>
              <w:jc w:val="left"/>
              <w:rPr>
                <w:rFonts w:hint="eastAsia" w:ascii="宋体" w:hAnsi="宋体"/>
                <w:sz w:val="24"/>
              </w:rPr>
            </w:pPr>
          </w:p>
        </w:tc>
      </w:tr>
      <w:tr w14:paraId="60D5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5" w:type="pct"/>
            <w:noWrap w:val="0"/>
            <w:vAlign w:val="center"/>
          </w:tcPr>
          <w:p w14:paraId="1CE4033A">
            <w:pPr>
              <w:widowControl/>
              <w:spacing w:line="360" w:lineRule="auto"/>
              <w:jc w:val="center"/>
              <w:rPr>
                <w:rFonts w:hint="eastAsia" w:ascii="宋体" w:hAnsi="宋体"/>
                <w:sz w:val="24"/>
              </w:rPr>
            </w:pPr>
            <w:r>
              <w:rPr>
                <w:rFonts w:ascii="宋体" w:hAnsi="宋体"/>
                <w:sz w:val="24"/>
              </w:rPr>
              <w:t>16</w:t>
            </w:r>
          </w:p>
        </w:tc>
        <w:tc>
          <w:tcPr>
            <w:tcW w:w="1042" w:type="pct"/>
            <w:noWrap w:val="0"/>
            <w:vAlign w:val="center"/>
          </w:tcPr>
          <w:p w14:paraId="233CFA19">
            <w:pPr>
              <w:widowControl/>
              <w:spacing w:line="360" w:lineRule="auto"/>
              <w:jc w:val="center"/>
              <w:rPr>
                <w:rFonts w:hint="eastAsia" w:ascii="宋体" w:hAnsi="宋体"/>
                <w:sz w:val="24"/>
              </w:rPr>
            </w:pPr>
            <w:r>
              <w:rPr>
                <w:rFonts w:ascii="宋体" w:hAnsi="宋体"/>
                <w:sz w:val="24"/>
              </w:rPr>
              <w:t>串通响应</w:t>
            </w:r>
          </w:p>
        </w:tc>
        <w:tc>
          <w:tcPr>
            <w:tcW w:w="2459" w:type="pct"/>
            <w:noWrap w:val="0"/>
            <w:vAlign w:val="center"/>
          </w:tcPr>
          <w:p w14:paraId="05813A4E">
            <w:pPr>
              <w:widowControl/>
              <w:spacing w:line="360" w:lineRule="auto"/>
              <w:jc w:val="left"/>
              <w:rPr>
                <w:rFonts w:hint="eastAsia" w:ascii="宋体" w:hAnsi="宋体"/>
                <w:sz w:val="24"/>
              </w:rPr>
            </w:pPr>
            <w:r>
              <w:rPr>
                <w:rFonts w:hint="eastAsia" w:ascii="宋体" w:hAnsi="宋体"/>
                <w:sz w:val="24"/>
              </w:rPr>
              <w:t>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w:t>
            </w:r>
          </w:p>
        </w:tc>
        <w:tc>
          <w:tcPr>
            <w:tcW w:w="1084" w:type="pct"/>
            <w:noWrap w:val="0"/>
            <w:vAlign w:val="center"/>
          </w:tcPr>
          <w:p w14:paraId="6A4D1796">
            <w:pPr>
              <w:widowControl/>
              <w:spacing w:line="360" w:lineRule="auto"/>
              <w:jc w:val="left"/>
              <w:rPr>
                <w:rFonts w:hint="eastAsia" w:ascii="宋体" w:hAnsi="宋体"/>
                <w:sz w:val="24"/>
              </w:rPr>
            </w:pPr>
          </w:p>
        </w:tc>
      </w:tr>
      <w:tr w14:paraId="539C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4BFD3F14">
            <w:pPr>
              <w:widowControl/>
              <w:spacing w:line="360" w:lineRule="auto"/>
              <w:jc w:val="center"/>
              <w:rPr>
                <w:rFonts w:hint="eastAsia" w:ascii="宋体" w:hAnsi="宋体"/>
                <w:sz w:val="24"/>
              </w:rPr>
            </w:pPr>
            <w:r>
              <w:rPr>
                <w:rFonts w:ascii="宋体" w:hAnsi="宋体"/>
                <w:sz w:val="24"/>
              </w:rPr>
              <w:t>17</w:t>
            </w:r>
          </w:p>
        </w:tc>
        <w:tc>
          <w:tcPr>
            <w:tcW w:w="1042" w:type="pct"/>
            <w:noWrap w:val="0"/>
            <w:vAlign w:val="center"/>
          </w:tcPr>
          <w:p w14:paraId="0D6A13C7">
            <w:pPr>
              <w:widowControl/>
              <w:spacing w:line="360" w:lineRule="auto"/>
              <w:jc w:val="center"/>
              <w:rPr>
                <w:rFonts w:hint="eastAsia" w:ascii="宋体" w:hAnsi="宋体"/>
                <w:sz w:val="24"/>
              </w:rPr>
            </w:pPr>
            <w:r>
              <w:rPr>
                <w:rFonts w:ascii="宋体" w:hAnsi="宋体"/>
                <w:sz w:val="24"/>
              </w:rPr>
              <w:t>附加条件</w:t>
            </w:r>
          </w:p>
        </w:tc>
        <w:tc>
          <w:tcPr>
            <w:tcW w:w="2459" w:type="pct"/>
            <w:noWrap w:val="0"/>
            <w:vAlign w:val="center"/>
          </w:tcPr>
          <w:p w14:paraId="5E193AD2">
            <w:pPr>
              <w:widowControl/>
              <w:spacing w:line="360" w:lineRule="auto"/>
              <w:jc w:val="left"/>
              <w:rPr>
                <w:rFonts w:hint="eastAsia" w:ascii="宋体" w:hAnsi="宋体"/>
                <w:sz w:val="24"/>
              </w:rPr>
            </w:pPr>
            <w:r>
              <w:rPr>
                <w:rFonts w:hint="eastAsia" w:ascii="宋体" w:hAnsi="宋体"/>
                <w:sz w:val="24"/>
              </w:rPr>
              <w:t>相应</w:t>
            </w:r>
            <w:r>
              <w:rPr>
                <w:rFonts w:ascii="宋体" w:hAnsi="宋体"/>
                <w:sz w:val="24"/>
              </w:rPr>
              <w:t>文件</w:t>
            </w:r>
            <w:r>
              <w:rPr>
                <w:rFonts w:hint="eastAsia" w:ascii="宋体" w:hAnsi="宋体"/>
                <w:sz w:val="24"/>
              </w:rPr>
              <w:t>未</w:t>
            </w:r>
            <w:r>
              <w:rPr>
                <w:rFonts w:ascii="宋体" w:hAnsi="宋体"/>
                <w:sz w:val="24"/>
              </w:rPr>
              <w:t>含有采购人不能接受的附加条件的；</w:t>
            </w:r>
          </w:p>
        </w:tc>
        <w:tc>
          <w:tcPr>
            <w:tcW w:w="1084" w:type="pct"/>
            <w:noWrap w:val="0"/>
            <w:vAlign w:val="center"/>
          </w:tcPr>
          <w:p w14:paraId="4D971202">
            <w:pPr>
              <w:widowControl/>
              <w:spacing w:line="360" w:lineRule="auto"/>
              <w:jc w:val="left"/>
              <w:rPr>
                <w:rFonts w:hint="eastAsia" w:ascii="宋体" w:hAnsi="宋体"/>
                <w:sz w:val="24"/>
              </w:rPr>
            </w:pPr>
          </w:p>
        </w:tc>
      </w:tr>
      <w:tr w14:paraId="3193A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5" w:type="pct"/>
            <w:noWrap w:val="0"/>
            <w:vAlign w:val="center"/>
          </w:tcPr>
          <w:p w14:paraId="758A627D">
            <w:pPr>
              <w:widowControl/>
              <w:spacing w:line="360" w:lineRule="auto"/>
              <w:jc w:val="center"/>
              <w:rPr>
                <w:rFonts w:hint="eastAsia" w:ascii="宋体" w:hAnsi="宋体"/>
                <w:sz w:val="24"/>
              </w:rPr>
            </w:pPr>
            <w:r>
              <w:rPr>
                <w:rFonts w:ascii="宋体" w:hAnsi="宋体"/>
                <w:sz w:val="24"/>
              </w:rPr>
              <w:t>18</w:t>
            </w:r>
          </w:p>
        </w:tc>
        <w:tc>
          <w:tcPr>
            <w:tcW w:w="1042" w:type="pct"/>
            <w:noWrap w:val="0"/>
            <w:vAlign w:val="center"/>
          </w:tcPr>
          <w:p w14:paraId="38FEAA1B">
            <w:pPr>
              <w:widowControl/>
              <w:spacing w:line="360" w:lineRule="auto"/>
              <w:jc w:val="center"/>
              <w:rPr>
                <w:rFonts w:hint="eastAsia" w:ascii="宋体" w:hAnsi="宋体"/>
                <w:sz w:val="24"/>
              </w:rPr>
            </w:pPr>
            <w:r>
              <w:rPr>
                <w:rFonts w:ascii="宋体" w:hAnsi="宋体"/>
                <w:sz w:val="24"/>
              </w:rPr>
              <w:t>其他无效情形</w:t>
            </w:r>
          </w:p>
        </w:tc>
        <w:tc>
          <w:tcPr>
            <w:tcW w:w="2459" w:type="pct"/>
            <w:noWrap w:val="0"/>
            <w:vAlign w:val="center"/>
          </w:tcPr>
          <w:p w14:paraId="5B837E1F">
            <w:pPr>
              <w:widowControl/>
              <w:spacing w:line="360" w:lineRule="auto"/>
              <w:jc w:val="left"/>
              <w:rPr>
                <w:rFonts w:hint="eastAsia" w:ascii="宋体" w:hAnsi="宋体"/>
                <w:sz w:val="24"/>
              </w:rPr>
            </w:pPr>
            <w:r>
              <w:rPr>
                <w:rFonts w:ascii="宋体" w:hAnsi="宋体"/>
                <w:sz w:val="24"/>
              </w:rPr>
              <w:t>供应商、响应文件</w:t>
            </w:r>
            <w:r>
              <w:rPr>
                <w:rFonts w:hint="eastAsia" w:ascii="宋体" w:hAnsi="宋体"/>
                <w:sz w:val="24"/>
              </w:rPr>
              <w:t>不存在</w:t>
            </w:r>
            <w:r>
              <w:rPr>
                <w:rFonts w:ascii="宋体" w:hAnsi="宋体"/>
                <w:sz w:val="24"/>
              </w:rPr>
              <w:t>不符合法律、法规和磋商文件规定的其他无效情形。</w:t>
            </w:r>
          </w:p>
        </w:tc>
        <w:tc>
          <w:tcPr>
            <w:tcW w:w="1084" w:type="pct"/>
            <w:noWrap w:val="0"/>
            <w:vAlign w:val="center"/>
          </w:tcPr>
          <w:p w14:paraId="31D3EDF9">
            <w:pPr>
              <w:widowControl/>
              <w:spacing w:line="360" w:lineRule="auto"/>
              <w:jc w:val="left"/>
              <w:rPr>
                <w:rFonts w:hint="eastAsia" w:ascii="宋体" w:hAnsi="宋体"/>
                <w:sz w:val="24"/>
              </w:rPr>
            </w:pPr>
          </w:p>
        </w:tc>
      </w:tr>
    </w:tbl>
    <w:p w14:paraId="48F22D08">
      <w:pPr>
        <w:widowControl/>
        <w:spacing w:line="360" w:lineRule="auto"/>
        <w:ind w:firstLine="602"/>
        <w:jc w:val="left"/>
        <w:rPr>
          <w:rFonts w:ascii="宋体" w:hAnsi="宋体"/>
          <w:sz w:val="24"/>
        </w:rPr>
      </w:pPr>
      <w:r>
        <w:rPr>
          <w:rFonts w:ascii="宋体" w:hAnsi="宋体" w:cs="Symbol"/>
          <w:b/>
          <w:sz w:val="30"/>
          <w:szCs w:val="30"/>
        </w:rPr>
        <w:t>二、磋商、响应文件有关事项的澄清、说明或者更正和最后报价</w:t>
      </w:r>
    </w:p>
    <w:p w14:paraId="5E80AA24">
      <w:pPr>
        <w:tabs>
          <w:tab w:val="left" w:pos="1080"/>
          <w:tab w:val="left" w:pos="1589"/>
        </w:tabs>
        <w:spacing w:line="360" w:lineRule="auto"/>
        <w:ind w:firstLine="480"/>
        <w:rPr>
          <w:rFonts w:ascii="宋体" w:hAnsi="宋体"/>
          <w:sz w:val="24"/>
        </w:rPr>
      </w:pPr>
      <w:r>
        <w:rPr>
          <w:rFonts w:hint="eastAsia" w:ascii="宋体" w:hAnsi="宋体"/>
          <w:sz w:val="24"/>
        </w:rPr>
        <w:t>（</w:t>
      </w:r>
      <w:r>
        <w:rPr>
          <w:rFonts w:ascii="宋体" w:hAnsi="宋体"/>
          <w:sz w:val="24"/>
        </w:rPr>
        <w:t>一）磋商小组所有成员应当集中与单一供应商分别进行磋商，并给予所有参加磋商的供应商平等的磋商机会。</w:t>
      </w:r>
      <w:r>
        <w:rPr>
          <w:rFonts w:hint="eastAsia" w:ascii="宋体" w:hAnsi="宋体"/>
          <w:sz w:val="24"/>
        </w:rPr>
        <w:t>具体要求详见第二章2</w:t>
      </w:r>
      <w:r>
        <w:rPr>
          <w:rFonts w:ascii="宋体" w:hAnsi="宋体"/>
          <w:sz w:val="24"/>
        </w:rPr>
        <w:t>7.1</w:t>
      </w:r>
      <w:r>
        <w:rPr>
          <w:rFonts w:hint="eastAsia" w:ascii="宋体" w:hAnsi="宋体"/>
          <w:sz w:val="24"/>
        </w:rPr>
        <w:t>磋商程序。</w:t>
      </w:r>
    </w:p>
    <w:p w14:paraId="7D9E15C4">
      <w:pPr>
        <w:tabs>
          <w:tab w:val="left" w:pos="360"/>
        </w:tabs>
        <w:spacing w:line="360" w:lineRule="auto"/>
        <w:ind w:firstLine="480"/>
        <w:rPr>
          <w:rFonts w:ascii="宋体" w:hAnsi="宋体"/>
          <w:sz w:val="24"/>
        </w:rPr>
      </w:pPr>
      <w:r>
        <w:rPr>
          <w:rFonts w:hint="eastAsia" w:ascii="宋体" w:hAnsi="宋体"/>
          <w:sz w:val="24"/>
        </w:rPr>
        <w:t>（二）</w:t>
      </w:r>
      <w:r>
        <w:rPr>
          <w:rFonts w:ascii="宋体" w:hAnsi="宋体"/>
          <w:sz w:val="24"/>
        </w:rPr>
        <w:t>最后报价的算术修正及政策调整</w:t>
      </w:r>
    </w:p>
    <w:p w14:paraId="5011EC8B">
      <w:pPr>
        <w:tabs>
          <w:tab w:val="left" w:pos="1080"/>
          <w:tab w:val="left" w:pos="1589"/>
        </w:tabs>
        <w:spacing w:line="360" w:lineRule="auto"/>
        <w:ind w:firstLine="480"/>
        <w:rPr>
          <w:rFonts w:ascii="宋体" w:hAnsi="宋体"/>
          <w:sz w:val="24"/>
        </w:rPr>
      </w:pPr>
      <w:r>
        <w:rPr>
          <w:rFonts w:ascii="宋体" w:hAnsi="宋体"/>
          <w:sz w:val="24"/>
        </w:rPr>
        <w:t>1</w:t>
      </w:r>
      <w:r>
        <w:rPr>
          <w:rFonts w:hint="eastAsia" w:ascii="宋体" w:hAnsi="宋体"/>
          <w:sz w:val="24"/>
        </w:rPr>
        <w:t>、</w:t>
      </w:r>
      <w:r>
        <w:rPr>
          <w:rFonts w:ascii="宋体" w:hAnsi="宋体"/>
          <w:sz w:val="24"/>
        </w:rPr>
        <w:t>最后报价须包含竞争性磋商文件全部内容，如</w:t>
      </w:r>
      <w:r>
        <w:rPr>
          <w:rFonts w:hint="eastAsia" w:ascii="宋体" w:hAnsi="宋体"/>
          <w:sz w:val="24"/>
        </w:rPr>
        <w:t>最后</w:t>
      </w:r>
      <w:r>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响应无效</w:t>
      </w:r>
      <w:r>
        <w:rPr>
          <w:rFonts w:ascii="宋体" w:hAnsi="宋体"/>
          <w:sz w:val="24"/>
        </w:rPr>
        <w:t>。</w:t>
      </w:r>
    </w:p>
    <w:p w14:paraId="0C4BFC4D">
      <w:pPr>
        <w:tabs>
          <w:tab w:val="left" w:pos="1080"/>
          <w:tab w:val="left" w:pos="1589"/>
          <w:tab w:val="left" w:pos="1872"/>
        </w:tabs>
        <w:spacing w:line="360" w:lineRule="auto"/>
        <w:ind w:firstLine="480"/>
        <w:rPr>
          <w:rFonts w:ascii="宋体" w:hAnsi="宋体"/>
          <w:sz w:val="24"/>
        </w:rPr>
      </w:pPr>
      <w:r>
        <w:rPr>
          <w:rFonts w:hint="eastAsia" w:ascii="宋体" w:hAnsi="宋体"/>
          <w:sz w:val="24"/>
        </w:rPr>
        <w:t>2、</w:t>
      </w:r>
      <w:r>
        <w:rPr>
          <w:rFonts w:ascii="宋体" w:hAnsi="宋体"/>
          <w:sz w:val="24"/>
        </w:rPr>
        <w:t>最后报价出现前后不一致的，按照下列规定修正：</w:t>
      </w:r>
    </w:p>
    <w:p w14:paraId="49272EFA">
      <w:pPr>
        <w:tabs>
          <w:tab w:val="left" w:pos="1980"/>
          <w:tab w:val="left" w:pos="2035"/>
          <w:tab w:val="left" w:pos="2114"/>
          <w:tab w:val="left" w:pos="2977"/>
        </w:tabs>
        <w:spacing w:line="360" w:lineRule="auto"/>
        <w:ind w:firstLine="480"/>
        <w:rPr>
          <w:rFonts w:ascii="宋体" w:hAnsi="宋体"/>
          <w:sz w:val="24"/>
        </w:rPr>
      </w:pPr>
      <w:r>
        <w:rPr>
          <w:rFonts w:ascii="宋体" w:hAnsi="宋体"/>
          <w:sz w:val="24"/>
        </w:rPr>
        <w:t>2.1</w:t>
      </w:r>
      <w:r>
        <w:rPr>
          <w:rFonts w:hint="eastAsia" w:ascii="宋体" w:hAnsi="宋体"/>
          <w:sz w:val="24"/>
        </w:rPr>
        <w:t>、</w:t>
      </w:r>
      <w:r>
        <w:rPr>
          <w:rFonts w:ascii="宋体" w:hAnsi="宋体"/>
          <w:sz w:val="24"/>
        </w:rPr>
        <w:t>大写金额和小写金额不一致的，以大写金额为准；</w:t>
      </w:r>
    </w:p>
    <w:p w14:paraId="7FE38266">
      <w:pPr>
        <w:tabs>
          <w:tab w:val="left" w:pos="1980"/>
          <w:tab w:val="left" w:pos="2035"/>
          <w:tab w:val="left" w:pos="2114"/>
          <w:tab w:val="left" w:pos="2977"/>
        </w:tabs>
        <w:spacing w:line="360" w:lineRule="auto"/>
        <w:ind w:firstLine="480"/>
        <w:rPr>
          <w:rFonts w:ascii="宋体" w:hAnsi="宋体"/>
          <w:sz w:val="24"/>
        </w:rPr>
      </w:pPr>
      <w:r>
        <w:rPr>
          <w:rFonts w:hint="eastAsia" w:ascii="宋体" w:hAnsi="宋体"/>
          <w:sz w:val="24"/>
        </w:rPr>
        <w:t>2</w:t>
      </w:r>
      <w:r>
        <w:rPr>
          <w:rFonts w:ascii="宋体" w:hAnsi="宋体"/>
          <w:sz w:val="24"/>
        </w:rPr>
        <w:t>.2</w:t>
      </w:r>
      <w:r>
        <w:rPr>
          <w:rFonts w:hint="eastAsia" w:ascii="宋体" w:hAnsi="宋体"/>
          <w:sz w:val="24"/>
        </w:rPr>
        <w:t>、</w:t>
      </w:r>
      <w:r>
        <w:rPr>
          <w:rFonts w:ascii="宋体" w:hAnsi="宋体"/>
          <w:sz w:val="24"/>
        </w:rPr>
        <w:t>单价金额小数点或者百分比有明显错位的，以最后报价一览表的总价为准，并修改单价；</w:t>
      </w:r>
    </w:p>
    <w:p w14:paraId="78616740">
      <w:pPr>
        <w:tabs>
          <w:tab w:val="left" w:pos="1980"/>
          <w:tab w:val="left" w:pos="2035"/>
          <w:tab w:val="left" w:pos="2114"/>
          <w:tab w:val="left" w:pos="2977"/>
        </w:tabs>
        <w:spacing w:line="360" w:lineRule="auto"/>
        <w:ind w:firstLine="480"/>
        <w:rPr>
          <w:rFonts w:ascii="宋体" w:hAnsi="宋体"/>
          <w:sz w:val="24"/>
        </w:rPr>
      </w:pPr>
      <w:r>
        <w:rPr>
          <w:rFonts w:hint="eastAsia" w:ascii="宋体" w:hAnsi="宋体"/>
          <w:sz w:val="24"/>
        </w:rPr>
        <w:t>2</w:t>
      </w:r>
      <w:r>
        <w:rPr>
          <w:rFonts w:ascii="宋体" w:hAnsi="宋体"/>
          <w:sz w:val="24"/>
        </w:rPr>
        <w:t>.3</w:t>
      </w:r>
      <w:r>
        <w:rPr>
          <w:rFonts w:hint="eastAsia" w:ascii="宋体" w:hAnsi="宋体"/>
          <w:sz w:val="24"/>
        </w:rPr>
        <w:t>、</w:t>
      </w:r>
      <w:r>
        <w:rPr>
          <w:rFonts w:ascii="宋体" w:hAnsi="宋体"/>
          <w:sz w:val="24"/>
        </w:rPr>
        <w:t>总价金额与按单价汇总金额不一致的，以单价金额计算结果为准。</w:t>
      </w:r>
    </w:p>
    <w:p w14:paraId="79527B12">
      <w:pPr>
        <w:tabs>
          <w:tab w:val="left" w:pos="1080"/>
          <w:tab w:val="left" w:pos="1589"/>
          <w:tab w:val="left" w:pos="1980"/>
          <w:tab w:val="left" w:pos="2035"/>
          <w:tab w:val="left" w:pos="2114"/>
        </w:tabs>
        <w:spacing w:line="360" w:lineRule="auto"/>
        <w:ind w:firstLine="480"/>
        <w:rPr>
          <w:rFonts w:ascii="宋体" w:hAnsi="宋体"/>
          <w:sz w:val="24"/>
        </w:rPr>
      </w:pPr>
      <w:r>
        <w:rPr>
          <w:rFonts w:ascii="宋体" w:hAnsi="宋体"/>
          <w:sz w:val="24"/>
        </w:rPr>
        <w:t>同时出现两种以上不一致的，按照前款规定的顺序修正。修正后的报价经供应商书面确认后产生约束力，供应商不确认的，</w:t>
      </w:r>
      <w:r>
        <w:rPr>
          <w:rFonts w:ascii="宋体" w:hAnsi="宋体"/>
          <w:b/>
          <w:sz w:val="24"/>
        </w:rPr>
        <w:t>其响应无效</w:t>
      </w:r>
      <w:r>
        <w:rPr>
          <w:rFonts w:ascii="宋体" w:hAnsi="宋体"/>
          <w:sz w:val="24"/>
        </w:rPr>
        <w:t>。</w:t>
      </w:r>
    </w:p>
    <w:p w14:paraId="3E7D056B">
      <w:pPr>
        <w:tabs>
          <w:tab w:val="left" w:pos="1080"/>
          <w:tab w:val="left" w:pos="1589"/>
        </w:tabs>
        <w:spacing w:line="360" w:lineRule="auto"/>
        <w:ind w:firstLine="480"/>
        <w:rPr>
          <w:rFonts w:ascii="宋体" w:hAnsi="宋体"/>
          <w:sz w:val="24"/>
        </w:rPr>
      </w:pPr>
      <w:r>
        <w:rPr>
          <w:rFonts w:hint="eastAsia" w:ascii="宋体" w:hAnsi="宋体"/>
          <w:sz w:val="24"/>
        </w:rPr>
        <w:t>（三）</w:t>
      </w:r>
      <w:r>
        <w:rPr>
          <w:rFonts w:ascii="宋体" w:hAnsi="宋体"/>
          <w:sz w:val="24"/>
        </w:rPr>
        <w:t>落实政府采购政策的价格调整：</w:t>
      </w:r>
      <w:r>
        <w:rPr>
          <w:rFonts w:hint="eastAsia" w:ascii="宋体" w:hAnsi="宋体"/>
          <w:sz w:val="24"/>
        </w:rPr>
        <w:t>详见第三节评标办法中的</w:t>
      </w:r>
      <w:r>
        <w:rPr>
          <w:rFonts w:hint="eastAsia" w:ascii="宋体" w:hAnsi="宋体"/>
          <w:b/>
          <w:sz w:val="24"/>
        </w:rPr>
        <w:t>政府采购政策功能落实。</w:t>
      </w:r>
      <w:bookmarkEnd w:id="343"/>
      <w:bookmarkEnd w:id="344"/>
    </w:p>
    <w:p w14:paraId="6AB94E9F">
      <w:pPr>
        <w:widowControl/>
        <w:spacing w:line="360" w:lineRule="auto"/>
        <w:ind w:firstLine="602"/>
        <w:jc w:val="left"/>
        <w:rPr>
          <w:rFonts w:ascii="宋体" w:hAnsi="宋体" w:cs="Symbol"/>
          <w:b/>
          <w:sz w:val="30"/>
          <w:szCs w:val="30"/>
        </w:rPr>
      </w:pPr>
      <w:r>
        <w:rPr>
          <w:rFonts w:hint="eastAsia" w:ascii="宋体" w:hAnsi="宋体" w:cs="Symbol"/>
          <w:b/>
          <w:sz w:val="30"/>
          <w:szCs w:val="30"/>
        </w:rPr>
        <w:t>三、</w:t>
      </w:r>
      <w:r>
        <w:rPr>
          <w:rFonts w:ascii="宋体" w:hAnsi="宋体" w:cs="Symbol"/>
          <w:b/>
          <w:sz w:val="30"/>
          <w:szCs w:val="30"/>
        </w:rPr>
        <w:t>评审方法和评审标准</w:t>
      </w:r>
    </w:p>
    <w:p w14:paraId="782D1EDF">
      <w:pPr>
        <w:widowControl/>
        <w:spacing w:line="360" w:lineRule="auto"/>
        <w:ind w:firstLine="480"/>
        <w:jc w:val="left"/>
        <w:rPr>
          <w:rFonts w:ascii="宋体" w:hAnsi="宋体"/>
          <w:sz w:val="24"/>
        </w:rPr>
      </w:pPr>
      <w:r>
        <w:rPr>
          <w:rFonts w:hint="eastAsia" w:ascii="宋体" w:hAnsi="宋体"/>
          <w:sz w:val="24"/>
        </w:rPr>
        <w:t>（一）</w:t>
      </w:r>
      <w:r>
        <w:rPr>
          <w:rFonts w:ascii="宋体" w:hAnsi="宋体"/>
          <w:sz w:val="24"/>
        </w:rPr>
        <w:t>本项目采用的评标方法详见《</w:t>
      </w:r>
      <w:r>
        <w:rPr>
          <w:rFonts w:hint="eastAsia" w:ascii="宋体" w:hAnsi="宋体"/>
          <w:sz w:val="24"/>
        </w:rPr>
        <w:t>第三节 评标方法</w:t>
      </w:r>
      <w:r>
        <w:rPr>
          <w:rFonts w:ascii="宋体" w:hAnsi="宋体"/>
          <w:sz w:val="24"/>
        </w:rPr>
        <w:t>》</w:t>
      </w:r>
      <w:r>
        <w:rPr>
          <w:rFonts w:hint="eastAsia" w:ascii="宋体" w:hAnsi="宋体"/>
          <w:sz w:val="24"/>
        </w:rPr>
        <w:t>，</w:t>
      </w:r>
      <w:r>
        <w:rPr>
          <w:rFonts w:ascii="宋体" w:hAnsi="宋体"/>
          <w:sz w:val="24"/>
        </w:rPr>
        <w:t>本项目采用的评标标准详见《</w:t>
      </w:r>
      <w:r>
        <w:rPr>
          <w:rFonts w:hint="eastAsia" w:ascii="宋体" w:hAnsi="宋体"/>
          <w:sz w:val="24"/>
        </w:rPr>
        <w:t>第四节 评标标准</w:t>
      </w:r>
      <w:r>
        <w:rPr>
          <w:rFonts w:ascii="宋体" w:hAnsi="宋体"/>
          <w:sz w:val="24"/>
        </w:rPr>
        <w:t>》</w:t>
      </w:r>
      <w:r>
        <w:rPr>
          <w:rFonts w:hint="eastAsia" w:ascii="宋体" w:hAnsi="宋体"/>
          <w:sz w:val="24"/>
        </w:rPr>
        <w:t>。</w:t>
      </w:r>
    </w:p>
    <w:p w14:paraId="5CAA89EE">
      <w:pPr>
        <w:widowControl/>
        <w:spacing w:line="360" w:lineRule="auto"/>
        <w:ind w:firstLine="602"/>
        <w:jc w:val="left"/>
        <w:rPr>
          <w:rFonts w:ascii="宋体" w:hAnsi="宋体" w:cs="Symbol"/>
          <w:b/>
          <w:sz w:val="30"/>
          <w:szCs w:val="30"/>
        </w:rPr>
      </w:pPr>
      <w:r>
        <w:rPr>
          <w:rFonts w:hint="eastAsia" w:ascii="宋体" w:hAnsi="宋体" w:cs="Symbol"/>
          <w:b/>
          <w:sz w:val="30"/>
          <w:szCs w:val="30"/>
        </w:rPr>
        <w:t>四、</w:t>
      </w:r>
      <w:r>
        <w:rPr>
          <w:rFonts w:ascii="宋体" w:hAnsi="宋体" w:cs="Symbol"/>
          <w:b/>
          <w:sz w:val="30"/>
          <w:szCs w:val="30"/>
        </w:rPr>
        <w:t>确定</w:t>
      </w:r>
      <w:bookmarkStart w:id="366" w:name="_Toc151193788"/>
      <w:bookmarkStart w:id="367" w:name="_Toc164229241"/>
      <w:bookmarkStart w:id="368" w:name="_Toc226965736"/>
      <w:bookmarkStart w:id="369" w:name="_Toc151193644"/>
      <w:bookmarkStart w:id="370" w:name="_Toc305158888"/>
      <w:bookmarkStart w:id="371" w:name="_Toc150509297"/>
      <w:bookmarkStart w:id="372" w:name="_Toc142311048"/>
      <w:bookmarkStart w:id="373" w:name="_Ref467307010"/>
      <w:bookmarkStart w:id="374" w:name="_Toc226965819"/>
      <w:bookmarkStart w:id="375" w:name="_Toc226337242"/>
      <w:bookmarkStart w:id="376" w:name="_Toc164608660"/>
      <w:bookmarkStart w:id="377" w:name="_Toc265228384"/>
      <w:bookmarkStart w:id="378" w:name="_Toc305158814"/>
      <w:bookmarkStart w:id="379" w:name="_Toc264969236"/>
      <w:bookmarkStart w:id="380" w:name="_Toc127151546"/>
      <w:bookmarkStart w:id="381" w:name="_Toc151193860"/>
      <w:bookmarkStart w:id="382" w:name="_Toc151190173"/>
      <w:bookmarkStart w:id="383" w:name="_Toc127161460"/>
      <w:bookmarkStart w:id="384" w:name="_Toc151193934"/>
      <w:bookmarkStart w:id="385" w:name="_Toc149720839"/>
      <w:bookmarkStart w:id="386" w:name="_Toc520356170"/>
      <w:bookmarkStart w:id="387" w:name="_Toc151193716"/>
      <w:bookmarkStart w:id="388" w:name="_Toc164608815"/>
      <w:bookmarkStart w:id="389" w:name="_Toc150774646"/>
      <w:bookmarkStart w:id="390" w:name="_Toc195842911"/>
      <w:bookmarkStart w:id="391" w:name="_Toc127151747"/>
      <w:bookmarkStart w:id="392" w:name="_Toc164229387"/>
      <w:bookmarkStart w:id="393" w:name="_Toc150480784"/>
      <w:bookmarkStart w:id="394" w:name="_Toc164351640"/>
      <w:bookmarkStart w:id="395" w:name="_Toc226309790"/>
      <w:bookmarkStart w:id="396" w:name="_Toc150774751"/>
      <w:r>
        <w:rPr>
          <w:rFonts w:ascii="宋体" w:hAnsi="宋体" w:cs="Symbol"/>
          <w:b/>
          <w:sz w:val="30"/>
          <w:szCs w:val="30"/>
        </w:rPr>
        <w:t>成交候选人名单</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90FE08B">
      <w:pPr>
        <w:tabs>
          <w:tab w:val="left" w:pos="1080"/>
          <w:tab w:val="left" w:pos="1589"/>
          <w:tab w:val="left" w:pos="1872"/>
        </w:tabs>
        <w:spacing w:line="360" w:lineRule="auto"/>
        <w:ind w:firstLine="480"/>
        <w:rPr>
          <w:rFonts w:ascii="宋体" w:hAnsi="宋体"/>
          <w:sz w:val="24"/>
          <w:szCs w:val="20"/>
        </w:rPr>
      </w:pPr>
      <w:r>
        <w:rPr>
          <w:rFonts w:ascii="宋体" w:hAnsi="宋体"/>
          <w:sz w:val="24"/>
        </w:rPr>
        <w:t>1</w:t>
      </w:r>
      <w:r>
        <w:rPr>
          <w:rFonts w:hint="eastAsia" w:ascii="宋体" w:hAnsi="宋体"/>
          <w:sz w:val="24"/>
          <w:szCs w:val="20"/>
        </w:rPr>
        <w:t>、</w:t>
      </w:r>
      <w:r>
        <w:rPr>
          <w:rFonts w:ascii="宋体" w:hAnsi="宋体"/>
          <w:sz w:val="24"/>
          <w:szCs w:val="20"/>
        </w:rPr>
        <w:t>磋商小组根据最终供应商排序，依次推荐排序前</w:t>
      </w:r>
      <w:r>
        <w:rPr>
          <w:rFonts w:hint="eastAsia" w:ascii="宋体" w:hAnsi="宋体"/>
          <w:sz w:val="24"/>
        </w:rPr>
        <w:t>3</w:t>
      </w:r>
      <w:r>
        <w:rPr>
          <w:rFonts w:ascii="宋体" w:hAnsi="宋体"/>
          <w:sz w:val="24"/>
        </w:rPr>
        <w:t>名</w:t>
      </w:r>
      <w:r>
        <w:rPr>
          <w:rFonts w:ascii="宋体" w:hAnsi="宋体"/>
          <w:sz w:val="24"/>
          <w:szCs w:val="20"/>
        </w:rPr>
        <w:t>的供应商为</w:t>
      </w:r>
      <w:r>
        <w:rPr>
          <w:rFonts w:ascii="宋体" w:hAnsi="宋体"/>
          <w:sz w:val="24"/>
          <w:szCs w:val="21"/>
        </w:rPr>
        <w:t>成交候选供应商</w:t>
      </w:r>
      <w:r>
        <w:rPr>
          <w:rFonts w:ascii="宋体" w:hAnsi="宋体"/>
          <w:sz w:val="24"/>
          <w:szCs w:val="20"/>
        </w:rPr>
        <w:t>（若在磋商文件允许的情形下提交最后报价的供应商为二家，则依次推荐二名供应商为成交候选供应商），并编写评审报告。</w:t>
      </w:r>
    </w:p>
    <w:p w14:paraId="068CB3E0">
      <w:pPr>
        <w:tabs>
          <w:tab w:val="left" w:pos="1080"/>
          <w:tab w:val="left" w:pos="1589"/>
          <w:tab w:val="left" w:pos="1872"/>
        </w:tabs>
        <w:spacing w:line="360" w:lineRule="auto"/>
        <w:ind w:firstLine="480"/>
        <w:rPr>
          <w:rFonts w:ascii="宋体" w:hAnsi="宋体"/>
          <w:sz w:val="24"/>
        </w:rPr>
      </w:pPr>
      <w:r>
        <w:rPr>
          <w:rFonts w:ascii="宋体" w:hAnsi="宋体"/>
          <w:sz w:val="24"/>
        </w:rPr>
        <w:t>2</w:t>
      </w:r>
      <w:r>
        <w:rPr>
          <w:rFonts w:hint="eastAsia" w:ascii="宋体" w:hAnsi="宋体"/>
          <w:sz w:val="24"/>
        </w:rPr>
        <w:t>、</w:t>
      </w:r>
      <w:r>
        <w:rPr>
          <w:rFonts w:ascii="宋体" w:hAnsi="宋体"/>
          <w:sz w:val="24"/>
        </w:rPr>
        <w:t>磋商小组要对评分汇总情况进行复核，特别是对排名第一的、报价最低的、响应文件被认定为无效的情形进行重点复核。</w:t>
      </w:r>
    </w:p>
    <w:p w14:paraId="0528D462">
      <w:pPr>
        <w:widowControl/>
        <w:spacing w:line="360" w:lineRule="auto"/>
        <w:ind w:firstLine="602"/>
        <w:jc w:val="left"/>
        <w:rPr>
          <w:rFonts w:ascii="宋体" w:hAnsi="宋体" w:cs="Symbol"/>
          <w:b/>
          <w:sz w:val="30"/>
          <w:szCs w:val="30"/>
        </w:rPr>
      </w:pPr>
      <w:r>
        <w:rPr>
          <w:rFonts w:hint="eastAsia" w:ascii="宋体" w:hAnsi="宋体" w:cs="Symbol"/>
          <w:b/>
          <w:sz w:val="30"/>
          <w:szCs w:val="30"/>
        </w:rPr>
        <w:t>五、</w:t>
      </w:r>
      <w:r>
        <w:rPr>
          <w:rFonts w:ascii="宋体" w:hAnsi="宋体" w:cs="Symbol"/>
          <w:b/>
          <w:sz w:val="30"/>
          <w:szCs w:val="30"/>
        </w:rPr>
        <w:t>报告违法行为</w:t>
      </w:r>
    </w:p>
    <w:p w14:paraId="289D6999">
      <w:pPr>
        <w:widowControl/>
        <w:tabs>
          <w:tab w:val="left" w:pos="1080"/>
          <w:tab w:val="left" w:pos="1589"/>
          <w:tab w:val="left" w:pos="1872"/>
        </w:tabs>
        <w:spacing w:line="360" w:lineRule="auto"/>
        <w:ind w:firstLine="480"/>
        <w:jc w:val="left"/>
        <w:rPr>
          <w:rFonts w:ascii="宋体" w:hAnsi="宋体"/>
          <w:b/>
          <w:sz w:val="24"/>
        </w:rPr>
      </w:pPr>
      <w:r>
        <w:rPr>
          <w:rFonts w:hint="eastAsia" w:ascii="宋体" w:hAnsi="宋体"/>
          <w:sz w:val="24"/>
        </w:rPr>
        <w:t>（一）</w:t>
      </w:r>
      <w:r>
        <w:rPr>
          <w:rFonts w:ascii="宋体" w:hAnsi="宋体"/>
          <w:sz w:val="24"/>
        </w:rPr>
        <w:t>磋商小组在评审过程中发现供应商有行贿、提供虚假材料或者串通等违法行为时，有向采购人、采购代理机构或者有关部门报告的职责。</w:t>
      </w:r>
    </w:p>
    <w:p w14:paraId="32D6BA01">
      <w:pPr>
        <w:tabs>
          <w:tab w:val="left" w:pos="360"/>
          <w:tab w:val="left" w:pos="900"/>
        </w:tabs>
        <w:spacing w:line="360" w:lineRule="auto"/>
        <w:jc w:val="center"/>
        <w:outlineLvl w:val="1"/>
        <w:rPr>
          <w:rFonts w:ascii="宋体" w:hAnsi="宋体"/>
          <w:b/>
          <w:sz w:val="32"/>
          <w:szCs w:val="32"/>
        </w:rPr>
      </w:pPr>
      <w:bookmarkStart w:id="397" w:name="_Toc4755"/>
      <w:bookmarkStart w:id="398" w:name="_Toc2809"/>
      <w:bookmarkStart w:id="399" w:name="_Toc160609044"/>
      <w:bookmarkStart w:id="400" w:name="_Toc152678556"/>
      <w:bookmarkStart w:id="401" w:name="_Toc152678637"/>
      <w:r>
        <w:rPr>
          <w:rFonts w:hint="eastAsia" w:ascii="宋体" w:hAnsi="宋体"/>
          <w:b/>
          <w:sz w:val="32"/>
          <w:szCs w:val="32"/>
        </w:rPr>
        <w:t>第三节 评标方法</w:t>
      </w:r>
      <w:bookmarkEnd w:id="397"/>
      <w:bookmarkEnd w:id="398"/>
      <w:bookmarkEnd w:id="399"/>
      <w:bookmarkEnd w:id="400"/>
      <w:bookmarkEnd w:id="401"/>
    </w:p>
    <w:p w14:paraId="63273733">
      <w:pPr>
        <w:tabs>
          <w:tab w:val="left" w:pos="360"/>
        </w:tabs>
        <w:spacing w:line="360" w:lineRule="auto"/>
        <w:ind w:firstLine="480"/>
        <w:jc w:val="left"/>
        <w:rPr>
          <w:rFonts w:ascii="宋体" w:hAnsi="宋体" w:cs="楷体"/>
          <w:sz w:val="24"/>
        </w:rPr>
      </w:pPr>
      <w:r>
        <w:rPr>
          <w:rFonts w:ascii="宋体" w:hAnsi="宋体"/>
          <w:sz w:val="24"/>
          <w:szCs w:val="20"/>
        </w:rPr>
        <w:t>一</w:t>
      </w:r>
      <w:r>
        <w:rPr>
          <w:rFonts w:hint="eastAsia" w:ascii="宋体" w:hAnsi="宋体"/>
          <w:sz w:val="24"/>
          <w:szCs w:val="20"/>
        </w:rPr>
        <w:t>、</w:t>
      </w:r>
      <w:r>
        <w:rPr>
          <w:rFonts w:ascii="宋体" w:hAnsi="宋体"/>
          <w:sz w:val="24"/>
          <w:szCs w:val="20"/>
        </w:rPr>
        <w:t>磋商小组将根据各供应商的评审排序以及磋商文件中关于成交候选人的相关规定，确定本项目成交候选人名单，按照评审得分由高到低顺序推荐成交候</w:t>
      </w:r>
      <w:r>
        <w:rPr>
          <w:rFonts w:ascii="宋体" w:hAnsi="宋体"/>
          <w:sz w:val="24"/>
        </w:rPr>
        <w:t>选人的排名顺序。响应文件满足竞争性磋商文件全部实质性要求，且按照评审因素的量化指标评审得分最高的供应商为排名第一的成交候选人</w:t>
      </w:r>
      <w:r>
        <w:rPr>
          <w:rFonts w:hint="eastAsia" w:ascii="宋体" w:hAnsi="宋体"/>
          <w:sz w:val="24"/>
        </w:rPr>
        <w:t>；</w:t>
      </w:r>
      <w:r>
        <w:rPr>
          <w:rFonts w:ascii="宋体" w:hAnsi="宋体"/>
          <w:sz w:val="24"/>
        </w:rPr>
        <w:t>评审得分相同的，按照最后报价由低到高的顺序推荐</w:t>
      </w:r>
      <w:r>
        <w:rPr>
          <w:rFonts w:hint="eastAsia" w:ascii="宋体" w:hAnsi="宋体"/>
          <w:sz w:val="24"/>
        </w:rPr>
        <w:t>；</w:t>
      </w:r>
      <w:r>
        <w:rPr>
          <w:rFonts w:ascii="宋体" w:hAnsi="宋体"/>
          <w:sz w:val="24"/>
        </w:rPr>
        <w:t>评审得分且最后报价相同的，按照技术指标优劣顺序推荐</w:t>
      </w:r>
      <w:r>
        <w:rPr>
          <w:rFonts w:hint="eastAsia" w:ascii="宋体" w:hAnsi="宋体"/>
          <w:sz w:val="24"/>
        </w:rPr>
        <w:t>；</w:t>
      </w:r>
      <w:r>
        <w:rPr>
          <w:rFonts w:hint="eastAsia" w:ascii="宋体" w:hAnsi="宋体" w:cs="楷体"/>
          <w:sz w:val="24"/>
        </w:rPr>
        <w:t>并列第一的供应商各部分得分均相同的,</w:t>
      </w:r>
      <w:r>
        <w:rPr>
          <w:rFonts w:ascii="宋体" w:hAnsi="宋体" w:cs="楷体"/>
          <w:sz w:val="24"/>
        </w:rPr>
        <w:t>由</w:t>
      </w:r>
      <w:r>
        <w:rPr>
          <w:rFonts w:hint="eastAsia" w:ascii="宋体" w:hAnsi="宋体" w:cs="楷体"/>
          <w:sz w:val="24"/>
        </w:rPr>
        <w:t>采购人代表现场随机</w:t>
      </w:r>
      <w:r>
        <w:rPr>
          <w:rFonts w:ascii="宋体" w:hAnsi="宋体" w:cs="楷体"/>
          <w:sz w:val="24"/>
        </w:rPr>
        <w:t>抽</w:t>
      </w:r>
      <w:r>
        <w:rPr>
          <w:rFonts w:hint="eastAsia" w:ascii="宋体" w:hAnsi="宋体" w:cs="楷体"/>
          <w:sz w:val="24"/>
        </w:rPr>
        <w:t>取</w:t>
      </w:r>
      <w:r>
        <w:rPr>
          <w:rFonts w:ascii="宋体" w:hAnsi="宋体" w:cs="楷体"/>
          <w:sz w:val="24"/>
        </w:rPr>
        <w:t>确定</w:t>
      </w:r>
      <w:r>
        <w:rPr>
          <w:rFonts w:hint="eastAsia" w:ascii="宋体" w:hAnsi="宋体" w:cs="楷体"/>
          <w:sz w:val="24"/>
        </w:rPr>
        <w:t>成交单位</w:t>
      </w:r>
      <w:r>
        <w:rPr>
          <w:rFonts w:ascii="宋体" w:hAnsi="宋体" w:cs="楷体"/>
          <w:sz w:val="24"/>
        </w:rPr>
        <w:t>。</w:t>
      </w:r>
    </w:p>
    <w:p w14:paraId="1AD81D31">
      <w:pPr>
        <w:tabs>
          <w:tab w:val="left" w:pos="360"/>
        </w:tabs>
        <w:spacing w:line="360" w:lineRule="auto"/>
        <w:ind w:firstLine="480"/>
        <w:jc w:val="left"/>
        <w:rPr>
          <w:sz w:val="24"/>
        </w:rPr>
      </w:pPr>
      <w:r>
        <w:rPr>
          <w:rFonts w:ascii="宋体" w:hAnsi="宋体"/>
          <w:sz w:val="24"/>
        </w:rPr>
        <w:t>二</w:t>
      </w:r>
      <w:r>
        <w:rPr>
          <w:rFonts w:hint="eastAsia" w:ascii="宋体" w:hAnsi="宋体"/>
          <w:sz w:val="24"/>
        </w:rPr>
        <w:t>、每部分的得分保留小数点后两位，合计得分保留小数点后两位</w:t>
      </w:r>
      <w:r>
        <w:rPr>
          <w:rFonts w:ascii="宋体" w:hAnsi="宋体"/>
          <w:sz w:val="24"/>
        </w:rPr>
        <w:t>，第三位四舍五入。</w:t>
      </w:r>
      <w:bookmarkStart w:id="402" w:name="_Hlk149916140"/>
    </w:p>
    <w:p w14:paraId="3133CF7D">
      <w:pPr>
        <w:tabs>
          <w:tab w:val="left" w:pos="360"/>
        </w:tabs>
        <w:spacing w:line="360" w:lineRule="auto"/>
        <w:ind w:firstLine="480"/>
        <w:outlineLvl w:val="1"/>
        <w:rPr>
          <w:rFonts w:ascii="宋体" w:hAnsi="宋体"/>
          <w:bCs/>
          <w:sz w:val="24"/>
        </w:rPr>
      </w:pPr>
      <w:bookmarkStart w:id="403" w:name="_Toc30834"/>
      <w:bookmarkStart w:id="404" w:name="_Toc32315"/>
      <w:r>
        <w:rPr>
          <w:rFonts w:hint="eastAsia" w:ascii="宋体" w:hAnsi="宋体"/>
          <w:bCs/>
          <w:sz w:val="24"/>
          <w:lang w:val="en-US" w:eastAsia="zh-CN"/>
        </w:rPr>
        <w:t>三</w:t>
      </w:r>
      <w:r>
        <w:rPr>
          <w:rFonts w:hint="eastAsia" w:ascii="宋体" w:hAnsi="宋体"/>
          <w:bCs/>
          <w:sz w:val="24"/>
        </w:rPr>
        <w:t>、政府采购政策功能落实</w:t>
      </w:r>
      <w:bookmarkEnd w:id="402"/>
      <w:bookmarkEnd w:id="403"/>
      <w:bookmarkEnd w:id="404"/>
    </w:p>
    <w:p w14:paraId="01D6EF9C">
      <w:pPr>
        <w:spacing w:line="360" w:lineRule="auto"/>
        <w:ind w:firstLine="480"/>
        <w:jc w:val="left"/>
        <w:rPr>
          <w:rFonts w:ascii="宋体" w:hAnsi="宋体"/>
          <w:sz w:val="24"/>
        </w:rPr>
      </w:pPr>
      <w:r>
        <w:rPr>
          <w:rFonts w:hint="eastAsia" w:ascii="宋体" w:hAnsi="宋体"/>
          <w:sz w:val="24"/>
        </w:rPr>
        <w:t>1、小微型企业价格扣除</w:t>
      </w:r>
    </w:p>
    <w:p w14:paraId="0D699BF6">
      <w:pPr>
        <w:spacing w:line="360" w:lineRule="auto"/>
        <w:ind w:firstLine="480"/>
        <w:jc w:val="left"/>
        <w:rPr>
          <w:rFonts w:ascii="宋体" w:hAnsi="宋体"/>
          <w:sz w:val="24"/>
        </w:rPr>
      </w:pPr>
      <w:r>
        <w:rPr>
          <w:rFonts w:hint="eastAsia" w:ascii="宋体" w:hAnsi="宋体"/>
          <w:sz w:val="24"/>
        </w:rPr>
        <w:t>（1）供应商需按照采购文件的要求提供相应的《中小企业声明函》。</w:t>
      </w:r>
    </w:p>
    <w:p w14:paraId="4D9F6EF6">
      <w:pPr>
        <w:spacing w:line="360" w:lineRule="auto"/>
        <w:ind w:firstLine="480"/>
        <w:jc w:val="left"/>
        <w:rPr>
          <w:rFonts w:ascii="宋体" w:hAnsi="宋体"/>
          <w:sz w:val="24"/>
        </w:rPr>
      </w:pPr>
      <w:r>
        <w:rPr>
          <w:rFonts w:hint="eastAsia" w:ascii="宋体" w:hAnsi="宋体"/>
          <w:sz w:val="24"/>
        </w:rPr>
        <w:t>（2）企业标准请参照《关于印发中小企业划型标准规定的通知》（工信部联企业[2011]300号）文件规定自行填写。</w:t>
      </w:r>
    </w:p>
    <w:p w14:paraId="0FF0C97A">
      <w:pPr>
        <w:spacing w:line="360" w:lineRule="auto"/>
        <w:ind w:firstLine="480"/>
        <w:jc w:val="left"/>
        <w:rPr>
          <w:rFonts w:ascii="宋体" w:hAnsi="宋体"/>
          <w:sz w:val="24"/>
        </w:rPr>
      </w:pPr>
      <w:r>
        <w:rPr>
          <w:rFonts w:hint="eastAsia" w:ascii="宋体" w:hAnsi="宋体"/>
          <w:sz w:val="24"/>
        </w:rPr>
        <w:t>2、残疾人福利单位价格扣除</w:t>
      </w:r>
    </w:p>
    <w:p w14:paraId="09C8745B">
      <w:pPr>
        <w:spacing w:line="360" w:lineRule="auto"/>
        <w:ind w:firstLine="480"/>
        <w:jc w:val="left"/>
        <w:rPr>
          <w:rFonts w:ascii="宋体" w:hAnsi="宋体"/>
          <w:sz w:val="24"/>
        </w:rPr>
      </w:pPr>
      <w:r>
        <w:rPr>
          <w:rFonts w:hint="eastAsia" w:ascii="宋体" w:hAnsi="宋体"/>
          <w:sz w:val="24"/>
        </w:rPr>
        <w:t>（1）残疾人福利性单位视同小型、微型企业。</w:t>
      </w:r>
    </w:p>
    <w:p w14:paraId="7E4CE521">
      <w:pPr>
        <w:spacing w:line="360" w:lineRule="auto"/>
        <w:ind w:firstLine="480"/>
        <w:jc w:val="left"/>
        <w:rPr>
          <w:rFonts w:ascii="宋体" w:hAnsi="宋体"/>
          <w:sz w:val="24"/>
        </w:rPr>
      </w:pPr>
      <w:r>
        <w:rPr>
          <w:rFonts w:hint="eastAsia" w:ascii="宋体" w:hAnsi="宋体"/>
          <w:sz w:val="24"/>
        </w:rPr>
        <w:t>（2）残疾人福利单位需按照采购文件的要求提供《残疾人福利性单位声明函》。</w:t>
      </w:r>
    </w:p>
    <w:p w14:paraId="2D398C22">
      <w:pPr>
        <w:spacing w:line="360" w:lineRule="auto"/>
        <w:ind w:firstLine="480"/>
        <w:jc w:val="left"/>
        <w:rPr>
          <w:rFonts w:ascii="宋体" w:hAnsi="宋体"/>
          <w:sz w:val="24"/>
        </w:rPr>
      </w:pPr>
      <w:r>
        <w:rPr>
          <w:rFonts w:hint="eastAsia" w:ascii="宋体" w:hAnsi="宋体"/>
          <w:sz w:val="24"/>
        </w:rPr>
        <w:t>（3）残疾人福利单位标准请参照《关于促进残疾人就业政府采购政策的通知》（财库〔2017〕141号）。</w:t>
      </w:r>
    </w:p>
    <w:p w14:paraId="733870A3">
      <w:pPr>
        <w:spacing w:line="360" w:lineRule="auto"/>
        <w:ind w:firstLine="480"/>
        <w:jc w:val="left"/>
        <w:rPr>
          <w:rFonts w:ascii="宋体" w:hAnsi="宋体"/>
          <w:sz w:val="24"/>
        </w:rPr>
      </w:pPr>
      <w:r>
        <w:rPr>
          <w:rFonts w:hint="eastAsia" w:ascii="宋体" w:hAnsi="宋体"/>
          <w:sz w:val="24"/>
        </w:rPr>
        <w:t>3、监狱和戒毒企业价格扣除</w:t>
      </w:r>
    </w:p>
    <w:p w14:paraId="2DBD3B56">
      <w:pPr>
        <w:spacing w:line="360" w:lineRule="auto"/>
        <w:ind w:firstLine="480"/>
        <w:jc w:val="left"/>
        <w:rPr>
          <w:rFonts w:ascii="宋体" w:hAnsi="宋体"/>
          <w:sz w:val="24"/>
        </w:rPr>
      </w:pPr>
      <w:r>
        <w:rPr>
          <w:rFonts w:hint="eastAsia" w:ascii="宋体" w:hAnsi="宋体"/>
          <w:sz w:val="24"/>
        </w:rPr>
        <w:t>（1）监狱和戒毒企业（简称监狱企业）视同小型、微型企业。</w:t>
      </w:r>
    </w:p>
    <w:p w14:paraId="6FFE36BC">
      <w:pPr>
        <w:spacing w:line="360" w:lineRule="auto"/>
        <w:ind w:firstLine="480"/>
        <w:jc w:val="left"/>
        <w:rPr>
          <w:rFonts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（2）监狱企业参加政府采购活动时，需提供由省级以上监狱管理局、戒毒管理局(含新疆生产建设兵团)出具的属于监狱企业的证明文件。供应商如不提供上述证明文件，价格将不做相应扣除。</w:t>
      </w:r>
    </w:p>
    <w:p w14:paraId="43CEC61F">
      <w:pPr>
        <w:spacing w:line="360" w:lineRule="auto"/>
        <w:ind w:firstLine="480"/>
        <w:jc w:val="left"/>
        <w:rPr>
          <w:rFonts w:ascii="宋体" w:hAnsi="宋体"/>
          <w:sz w:val="24"/>
        </w:rPr>
      </w:pPr>
      <w:r>
        <w:rPr>
          <w:rFonts w:hint="eastAsia" w:ascii="宋体" w:hAnsi="宋体"/>
          <w:sz w:val="24"/>
        </w:rPr>
        <w:t>（3）监狱企业标准请参照《关于政府采购支持监狱企业发展有关问题的通知》（财库[2014]68号）。</w:t>
      </w:r>
    </w:p>
    <w:p w14:paraId="57CCAD55">
      <w:pPr>
        <w:spacing w:line="360" w:lineRule="auto"/>
        <w:ind w:firstLine="480"/>
        <w:jc w:val="left"/>
        <w:rPr>
          <w:rFonts w:ascii="宋体" w:hAnsi="宋体"/>
          <w:sz w:val="24"/>
        </w:rPr>
      </w:pPr>
      <w:r>
        <w:rPr>
          <w:rFonts w:hint="eastAsia" w:ascii="宋体" w:hAnsi="宋体"/>
          <w:sz w:val="24"/>
        </w:rPr>
        <w:t>4、残疾人福利单位、监狱企业属于小型、微型企业的，不重复享受政策。</w:t>
      </w:r>
    </w:p>
    <w:p w14:paraId="5EBF7F91">
      <w:pPr>
        <w:spacing w:line="360" w:lineRule="auto"/>
        <w:ind w:firstLine="480"/>
        <w:jc w:val="left"/>
        <w:rPr>
          <w:rFonts w:ascii="宋体" w:hAnsi="宋体"/>
          <w:sz w:val="24"/>
        </w:rPr>
      </w:pPr>
      <w:r>
        <w:rPr>
          <w:rFonts w:hint="eastAsia" w:ascii="宋体" w:hAnsi="宋体"/>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7D4314A">
      <w:pPr>
        <w:spacing w:line="360" w:lineRule="auto"/>
        <w:ind w:firstLine="480"/>
        <w:jc w:val="left"/>
        <w:rPr>
          <w:rFonts w:ascii="宋体" w:hAnsi="宋体"/>
          <w:sz w:val="24"/>
        </w:rPr>
      </w:pPr>
      <w:r>
        <w:rPr>
          <w:rFonts w:hint="eastAsia" w:ascii="宋体" w:hAnsi="宋体"/>
          <w:sz w:val="24"/>
        </w:rPr>
        <w:t>6、联合体各方均为小型、微型企业（残疾人福利单位、监狱企业）的，联合体享受20%价格扣除，用扣除后的价格参与评审。</w:t>
      </w:r>
    </w:p>
    <w:p w14:paraId="181836EB">
      <w:pPr>
        <w:rPr>
          <w:rFonts w:hint="eastAsia" w:ascii="宋体" w:hAnsi="宋体"/>
          <w:b/>
          <w:sz w:val="32"/>
          <w:szCs w:val="32"/>
        </w:rPr>
      </w:pPr>
      <w:bookmarkStart w:id="405" w:name="_Toc160609046"/>
      <w:bookmarkStart w:id="406" w:name="_Toc22872"/>
      <w:bookmarkStart w:id="407" w:name="_Toc152678638"/>
      <w:bookmarkStart w:id="408" w:name="_Toc152678557"/>
      <w:bookmarkStart w:id="409" w:name="_Toc27034"/>
      <w:r>
        <w:rPr>
          <w:rFonts w:hint="eastAsia" w:ascii="宋体" w:hAnsi="宋体"/>
          <w:b/>
          <w:sz w:val="32"/>
          <w:szCs w:val="32"/>
        </w:rPr>
        <w:br w:type="page"/>
      </w:r>
    </w:p>
    <w:p w14:paraId="7AC4CDFF">
      <w:pPr>
        <w:numPr>
          <w:ilvl w:val="0"/>
          <w:numId w:val="9"/>
        </w:numPr>
        <w:tabs>
          <w:tab w:val="left" w:pos="360"/>
          <w:tab w:val="left" w:pos="900"/>
        </w:tabs>
        <w:spacing w:line="360" w:lineRule="auto"/>
        <w:jc w:val="center"/>
        <w:outlineLvl w:val="1"/>
        <w:rPr>
          <w:rFonts w:hint="eastAsia" w:ascii="宋体" w:hAnsi="宋体"/>
          <w:b/>
          <w:sz w:val="32"/>
          <w:szCs w:val="32"/>
        </w:rPr>
      </w:pPr>
      <w:bookmarkStart w:id="410" w:name="_Hlk156547880"/>
      <w:bookmarkStart w:id="411" w:name="_Hlk153262047"/>
      <w:bookmarkStart w:id="412" w:name="_Hlk178246701"/>
      <w:r>
        <w:rPr>
          <w:rFonts w:hint="eastAsia" w:ascii="宋体" w:hAnsi="宋体"/>
          <w:b/>
          <w:sz w:val="32"/>
          <w:szCs w:val="32"/>
        </w:rPr>
        <w:t>评审标准</w:t>
      </w:r>
      <w:bookmarkEnd w:id="405"/>
      <w:bookmarkEnd w:id="406"/>
      <w:bookmarkEnd w:id="407"/>
      <w:bookmarkEnd w:id="408"/>
      <w:bookmarkEnd w:id="409"/>
    </w:p>
    <w:bookmarkEnd w:id="410"/>
    <w:bookmarkEnd w:id="411"/>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294"/>
        <w:gridCol w:w="707"/>
        <w:gridCol w:w="3619"/>
        <w:gridCol w:w="2162"/>
      </w:tblGrid>
      <w:tr w14:paraId="279F6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noWrap w:val="0"/>
            <w:vAlign w:val="center"/>
          </w:tcPr>
          <w:p w14:paraId="2496F023">
            <w:pPr>
              <w:ind w:firstLine="28"/>
              <w:jc w:val="center"/>
              <w:rPr>
                <w:rFonts w:hint="eastAsia" w:ascii="宋体" w:hAnsi="宋体" w:cs="宋体"/>
                <w:b/>
                <w:szCs w:val="21"/>
              </w:rPr>
            </w:pPr>
            <w:bookmarkStart w:id="413" w:name="_Hlk167175512"/>
            <w:r>
              <w:rPr>
                <w:rFonts w:hint="eastAsia" w:ascii="宋体" w:hAnsi="宋体" w:cs="宋体"/>
                <w:b/>
                <w:szCs w:val="21"/>
              </w:rPr>
              <w:t>序号</w:t>
            </w:r>
          </w:p>
        </w:tc>
        <w:tc>
          <w:tcPr>
            <w:tcW w:w="759" w:type="pct"/>
            <w:noWrap w:val="0"/>
            <w:vAlign w:val="center"/>
          </w:tcPr>
          <w:p w14:paraId="5C0B469C">
            <w:pPr>
              <w:ind w:firstLine="28"/>
              <w:jc w:val="center"/>
              <w:rPr>
                <w:rFonts w:hint="eastAsia" w:ascii="宋体" w:hAnsi="宋体" w:cs="宋体"/>
                <w:b/>
                <w:szCs w:val="21"/>
              </w:rPr>
            </w:pPr>
            <w:r>
              <w:rPr>
                <w:rFonts w:hint="eastAsia" w:ascii="宋体" w:hAnsi="宋体" w:cs="宋体"/>
                <w:b/>
                <w:szCs w:val="21"/>
              </w:rPr>
              <w:t>评分因素</w:t>
            </w:r>
          </w:p>
        </w:tc>
        <w:tc>
          <w:tcPr>
            <w:tcW w:w="415" w:type="pct"/>
            <w:noWrap w:val="0"/>
            <w:vAlign w:val="center"/>
          </w:tcPr>
          <w:p w14:paraId="0FCFD87B">
            <w:pPr>
              <w:ind w:firstLine="28"/>
              <w:jc w:val="center"/>
              <w:rPr>
                <w:rFonts w:hint="eastAsia" w:ascii="宋体" w:hAnsi="宋体" w:cs="宋体"/>
                <w:b/>
                <w:szCs w:val="21"/>
              </w:rPr>
            </w:pPr>
            <w:r>
              <w:rPr>
                <w:rFonts w:hint="eastAsia" w:ascii="宋体" w:hAnsi="宋体" w:cs="宋体"/>
                <w:b/>
                <w:szCs w:val="21"/>
              </w:rPr>
              <w:t>分值</w:t>
            </w:r>
          </w:p>
        </w:tc>
        <w:tc>
          <w:tcPr>
            <w:tcW w:w="2123" w:type="pct"/>
            <w:noWrap w:val="0"/>
            <w:vAlign w:val="center"/>
          </w:tcPr>
          <w:p w14:paraId="1B31455B">
            <w:pPr>
              <w:ind w:firstLine="28"/>
              <w:jc w:val="center"/>
              <w:rPr>
                <w:rFonts w:hint="eastAsia" w:ascii="宋体" w:hAnsi="宋体" w:cs="宋体"/>
                <w:b/>
                <w:szCs w:val="21"/>
              </w:rPr>
            </w:pPr>
            <w:r>
              <w:rPr>
                <w:rFonts w:hint="eastAsia" w:ascii="宋体" w:hAnsi="宋体" w:cs="宋体"/>
                <w:b/>
                <w:szCs w:val="21"/>
              </w:rPr>
              <w:t>评分标准</w:t>
            </w:r>
          </w:p>
        </w:tc>
        <w:tc>
          <w:tcPr>
            <w:tcW w:w="1267" w:type="pct"/>
            <w:noWrap w:val="0"/>
            <w:vAlign w:val="center"/>
          </w:tcPr>
          <w:p w14:paraId="07EE6072">
            <w:pPr>
              <w:pStyle w:val="404"/>
              <w:spacing w:before="0" w:after="0" w:line="240" w:lineRule="auto"/>
              <w:rPr>
                <w:rFonts w:hint="eastAsia" w:ascii="宋体" w:hAnsi="宋体" w:eastAsia="宋体" w:cs="宋体"/>
                <w:sz w:val="21"/>
                <w:szCs w:val="21"/>
              </w:rPr>
            </w:pPr>
            <w:r>
              <w:rPr>
                <w:rFonts w:hint="eastAsia" w:ascii="宋体" w:hAnsi="宋体" w:eastAsia="宋体" w:cs="宋体"/>
                <w:sz w:val="21"/>
                <w:szCs w:val="21"/>
              </w:rPr>
              <w:t>说明</w:t>
            </w:r>
          </w:p>
        </w:tc>
      </w:tr>
      <w:tr w14:paraId="1855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atLeast"/>
        </w:trPr>
        <w:tc>
          <w:tcPr>
            <w:tcW w:w="434" w:type="pct"/>
            <w:noWrap w:val="0"/>
            <w:vAlign w:val="center"/>
          </w:tcPr>
          <w:p w14:paraId="266B91CE">
            <w:pPr>
              <w:ind w:firstLine="28"/>
              <w:jc w:val="center"/>
              <w:rPr>
                <w:rFonts w:hint="eastAsia" w:ascii="宋体" w:hAnsi="宋体" w:cs="宋体"/>
                <w:b/>
                <w:szCs w:val="21"/>
              </w:rPr>
            </w:pPr>
            <w:r>
              <w:rPr>
                <w:rFonts w:hint="eastAsia" w:ascii="宋体" w:hAnsi="宋体" w:cs="宋体"/>
                <w:bCs/>
                <w:szCs w:val="21"/>
              </w:rPr>
              <w:t>1</w:t>
            </w:r>
          </w:p>
        </w:tc>
        <w:tc>
          <w:tcPr>
            <w:tcW w:w="759" w:type="pct"/>
            <w:noWrap w:val="0"/>
            <w:vAlign w:val="center"/>
          </w:tcPr>
          <w:p w14:paraId="210CF225">
            <w:pPr>
              <w:ind w:firstLine="28"/>
              <w:jc w:val="center"/>
              <w:rPr>
                <w:rFonts w:hint="eastAsia" w:ascii="宋体" w:hAnsi="宋体" w:cs="宋体"/>
                <w:szCs w:val="21"/>
                <w:highlight w:val="none"/>
              </w:rPr>
            </w:pPr>
            <w:r>
              <w:rPr>
                <w:rFonts w:hint="eastAsia" w:ascii="宋体" w:hAnsi="宋体" w:cs="宋体"/>
                <w:szCs w:val="21"/>
                <w:highlight w:val="none"/>
              </w:rPr>
              <w:t>价格分</w:t>
            </w:r>
          </w:p>
        </w:tc>
        <w:tc>
          <w:tcPr>
            <w:tcW w:w="415" w:type="pct"/>
            <w:noWrap w:val="0"/>
            <w:vAlign w:val="center"/>
          </w:tcPr>
          <w:p w14:paraId="2DF4A604">
            <w:pPr>
              <w:ind w:firstLine="28"/>
              <w:jc w:val="center"/>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0</w:t>
            </w:r>
          </w:p>
        </w:tc>
        <w:tc>
          <w:tcPr>
            <w:tcW w:w="2123" w:type="pct"/>
            <w:noWrap w:val="0"/>
            <w:vAlign w:val="center"/>
          </w:tcPr>
          <w:p w14:paraId="5F52F627">
            <w:pPr>
              <w:rPr>
                <w:rFonts w:hint="eastAsia" w:ascii="宋体" w:hAnsi="宋体" w:cs="宋体"/>
                <w:color w:val="000000"/>
                <w:szCs w:val="21"/>
                <w:highlight w:val="none"/>
              </w:rPr>
            </w:pPr>
            <w:r>
              <w:rPr>
                <w:rFonts w:hint="eastAsia" w:ascii="宋体" w:hAnsi="宋体" w:cs="宋体"/>
                <w:color w:val="000000"/>
                <w:szCs w:val="21"/>
                <w:highlight w:val="none"/>
              </w:rPr>
              <w:t>满足</w:t>
            </w:r>
            <w:r>
              <w:rPr>
                <w:rFonts w:hint="eastAsia" w:ascii="宋体" w:hAnsi="宋体" w:cs="宋体"/>
                <w:color w:val="000000"/>
                <w:szCs w:val="21"/>
                <w:highlight w:val="none"/>
                <w:lang w:val="en-US" w:eastAsia="zh-CN"/>
              </w:rPr>
              <w:t>磋商</w:t>
            </w:r>
            <w:r>
              <w:rPr>
                <w:rFonts w:hint="eastAsia" w:ascii="宋体" w:hAnsi="宋体" w:cs="宋体"/>
                <w:color w:val="000000"/>
                <w:szCs w:val="21"/>
                <w:highlight w:val="none"/>
              </w:rPr>
              <w:t>文件要求且</w:t>
            </w:r>
            <w:r>
              <w:rPr>
                <w:rFonts w:hint="eastAsia" w:ascii="宋体" w:hAnsi="宋体" w:cs="宋体"/>
                <w:color w:val="000000"/>
                <w:szCs w:val="21"/>
                <w:highlight w:val="none"/>
                <w:lang w:val="en-US" w:eastAsia="zh-CN"/>
              </w:rPr>
              <w:t>最终报价</w:t>
            </w:r>
            <w:r>
              <w:rPr>
                <w:rFonts w:hint="eastAsia" w:ascii="宋体" w:hAnsi="宋体" w:cs="宋体"/>
                <w:color w:val="000000"/>
                <w:szCs w:val="21"/>
                <w:highlight w:val="none"/>
              </w:rPr>
              <w:t>最低（即投标优惠率最高）的报价为评标基准价，其价格分为满分。其他</w:t>
            </w:r>
            <w:r>
              <w:rPr>
                <w:rFonts w:hint="eastAsia" w:ascii="宋体" w:hAnsi="宋体" w:cs="宋体"/>
                <w:color w:val="000000"/>
                <w:szCs w:val="21"/>
                <w:highlight w:val="none"/>
                <w:lang w:val="en-US" w:eastAsia="zh-CN"/>
              </w:rPr>
              <w:t>供应商</w:t>
            </w:r>
            <w:r>
              <w:rPr>
                <w:rFonts w:hint="eastAsia" w:ascii="宋体" w:hAnsi="宋体" w:cs="宋体"/>
                <w:color w:val="000000"/>
                <w:szCs w:val="21"/>
                <w:highlight w:val="none"/>
              </w:rPr>
              <w:t>的价格分统一按照下列公式计算：</w:t>
            </w:r>
          </w:p>
          <w:p w14:paraId="5EE8342F">
            <w:pPr>
              <w:rPr>
                <w:rFonts w:hint="eastAsia" w:ascii="宋体" w:hAnsi="宋体" w:cs="宋体"/>
                <w:color w:val="000000"/>
                <w:szCs w:val="21"/>
                <w:highlight w:val="none"/>
              </w:rPr>
            </w:pPr>
            <w:r>
              <w:rPr>
                <w:rFonts w:hint="eastAsia" w:ascii="宋体" w:hAnsi="宋体" w:cs="宋体"/>
                <w:color w:val="000000"/>
                <w:szCs w:val="21"/>
                <w:highlight w:val="none"/>
              </w:rPr>
              <w:t>价格分</w:t>
            </w:r>
            <w:r>
              <w:rPr>
                <w:rFonts w:ascii="宋体" w:hAnsi="宋体" w:cs="宋体"/>
                <w:color w:val="000000"/>
                <w:szCs w:val="21"/>
                <w:highlight w:val="none"/>
              </w:rPr>
              <w:t>得分</w:t>
            </w:r>
            <w:r>
              <w:rPr>
                <w:rFonts w:hint="eastAsia" w:ascii="宋体" w:hAnsi="宋体" w:cs="宋体"/>
                <w:color w:val="000000"/>
                <w:szCs w:val="21"/>
                <w:highlight w:val="none"/>
              </w:rPr>
              <w:t>＝（（1-评标基准价）/（1-优惠率</w:t>
            </w:r>
            <w:r>
              <w:rPr>
                <w:rFonts w:hint="eastAsia" w:ascii="宋体" w:hAnsi="宋体"/>
                <w:bCs/>
                <w:szCs w:val="21"/>
              </w:rPr>
              <w:t>评审价</w:t>
            </w:r>
            <w:r>
              <w:rPr>
                <w:rFonts w:hint="eastAsia" w:ascii="宋体" w:hAnsi="宋体" w:cs="宋体"/>
                <w:color w:val="000000"/>
                <w:szCs w:val="21"/>
                <w:highlight w:val="none"/>
              </w:rPr>
              <w:t>））×分值。</w:t>
            </w:r>
          </w:p>
          <w:p w14:paraId="0FCAC0BB">
            <w:pPr>
              <w:spacing w:line="240" w:lineRule="auto"/>
              <w:jc w:val="left"/>
              <w:rPr>
                <w:rFonts w:hint="eastAsia" w:ascii="宋体" w:hAnsi="宋体" w:cs="宋体"/>
                <w:color w:val="000000"/>
                <w:szCs w:val="21"/>
                <w:highlight w:val="none"/>
              </w:rPr>
            </w:pPr>
            <w:r>
              <w:rPr>
                <w:rFonts w:hint="eastAsia" w:ascii="宋体" w:hAnsi="宋体" w:eastAsia="宋体" w:cs="宋体"/>
                <w:color w:val="FF0000"/>
                <w:szCs w:val="21"/>
                <w:highlight w:val="none"/>
                <w:lang w:val="en-US" w:eastAsia="zh-CN"/>
              </w:rPr>
              <w:t>注：因苏采云系统设置，本项目</w:t>
            </w:r>
            <w:r>
              <w:rPr>
                <w:rFonts w:hint="eastAsia" w:ascii="宋体" w:hAnsi="宋体" w:eastAsia="宋体" w:cs="宋体"/>
                <w:color w:val="FF0000"/>
                <w:szCs w:val="21"/>
                <w:highlight w:val="none"/>
                <w:lang w:eastAsia="zh-CN"/>
              </w:rPr>
              <w:t>投标报价格式为：</w:t>
            </w:r>
            <w:r>
              <w:rPr>
                <w:rFonts w:hint="eastAsia" w:ascii="宋体" w:hAnsi="宋体" w:eastAsia="宋体" w:cs="宋体"/>
                <w:color w:val="FF0000"/>
                <w:szCs w:val="21"/>
                <w:highlight w:val="none"/>
                <w:lang w:val="en-US" w:eastAsia="zh-CN"/>
              </w:rPr>
              <w:t>优惠率（%）。</w:t>
            </w:r>
          </w:p>
        </w:tc>
        <w:tc>
          <w:tcPr>
            <w:tcW w:w="1267" w:type="pct"/>
            <w:noWrap w:val="0"/>
            <w:vAlign w:val="center"/>
          </w:tcPr>
          <w:p w14:paraId="387D080A">
            <w:pPr>
              <w:ind w:left="-38"/>
              <w:rPr>
                <w:rFonts w:hint="eastAsia" w:ascii="宋体" w:hAnsi="宋体" w:cs="宋体"/>
                <w:szCs w:val="21"/>
              </w:rPr>
            </w:pPr>
          </w:p>
        </w:tc>
      </w:tr>
      <w:tr w14:paraId="46DC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34" w:type="pct"/>
            <w:noWrap w:val="0"/>
            <w:vAlign w:val="center"/>
          </w:tcPr>
          <w:p w14:paraId="3AC7C31F">
            <w:pPr>
              <w:ind w:firstLine="28"/>
              <w:jc w:val="center"/>
              <w:rPr>
                <w:rFonts w:hint="eastAsia" w:ascii="宋体" w:hAnsi="宋体" w:cs="宋体"/>
                <w:szCs w:val="21"/>
              </w:rPr>
            </w:pPr>
            <w:r>
              <w:rPr>
                <w:rFonts w:hint="eastAsia" w:ascii="宋体" w:hAnsi="宋体" w:cs="宋体"/>
                <w:szCs w:val="21"/>
              </w:rPr>
              <w:t>2</w:t>
            </w:r>
          </w:p>
        </w:tc>
        <w:tc>
          <w:tcPr>
            <w:tcW w:w="759" w:type="pct"/>
            <w:noWrap w:val="0"/>
            <w:vAlign w:val="center"/>
          </w:tcPr>
          <w:p w14:paraId="43B54965">
            <w:pPr>
              <w:ind w:firstLine="28"/>
              <w:jc w:val="center"/>
              <w:rPr>
                <w:rFonts w:hint="eastAsia" w:ascii="宋体" w:hAnsi="宋体" w:cs="宋体"/>
                <w:szCs w:val="21"/>
              </w:rPr>
            </w:pPr>
            <w:r>
              <w:rPr>
                <w:rFonts w:hint="eastAsia" w:ascii="宋体" w:hAnsi="宋体" w:cs="宋体"/>
                <w:szCs w:val="21"/>
                <w:lang w:val="en-US" w:eastAsia="zh-CN"/>
              </w:rPr>
              <w:t>技术</w:t>
            </w:r>
            <w:r>
              <w:rPr>
                <w:rFonts w:hint="eastAsia" w:ascii="宋体" w:hAnsi="宋体" w:cs="宋体"/>
                <w:szCs w:val="21"/>
              </w:rPr>
              <w:t>分</w:t>
            </w:r>
          </w:p>
        </w:tc>
        <w:tc>
          <w:tcPr>
            <w:tcW w:w="415" w:type="pct"/>
            <w:noWrap w:val="0"/>
            <w:vAlign w:val="center"/>
          </w:tcPr>
          <w:p w14:paraId="54947EA5">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25</w:t>
            </w:r>
          </w:p>
        </w:tc>
        <w:tc>
          <w:tcPr>
            <w:tcW w:w="2123" w:type="pct"/>
            <w:noWrap w:val="0"/>
            <w:vAlign w:val="center"/>
          </w:tcPr>
          <w:p w14:paraId="596B19F2">
            <w:pPr>
              <w:rPr>
                <w:rFonts w:hint="eastAsia" w:ascii="宋体" w:hAnsi="宋体" w:cs="宋体"/>
                <w:szCs w:val="21"/>
              </w:rPr>
            </w:pPr>
          </w:p>
        </w:tc>
        <w:tc>
          <w:tcPr>
            <w:tcW w:w="1267" w:type="pct"/>
            <w:noWrap w:val="0"/>
            <w:vAlign w:val="center"/>
          </w:tcPr>
          <w:p w14:paraId="7075126F">
            <w:pPr>
              <w:ind w:left="-38"/>
              <w:rPr>
                <w:rFonts w:hint="eastAsia" w:ascii="宋体" w:hAnsi="宋体" w:cs="宋体"/>
                <w:szCs w:val="21"/>
              </w:rPr>
            </w:pPr>
          </w:p>
        </w:tc>
      </w:tr>
      <w:tr w14:paraId="7462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9" w:hRule="atLeast"/>
        </w:trPr>
        <w:tc>
          <w:tcPr>
            <w:tcW w:w="434" w:type="pct"/>
            <w:noWrap w:val="0"/>
            <w:vAlign w:val="center"/>
          </w:tcPr>
          <w:p w14:paraId="33506A15">
            <w:pPr>
              <w:ind w:firstLine="28"/>
              <w:jc w:val="center"/>
              <w:rPr>
                <w:rFonts w:hint="eastAsia" w:ascii="宋体" w:hAnsi="宋体" w:cs="宋体"/>
                <w:szCs w:val="21"/>
              </w:rPr>
            </w:pPr>
            <w:r>
              <w:rPr>
                <w:rFonts w:hint="eastAsia" w:ascii="宋体" w:hAnsi="宋体" w:cs="宋体"/>
                <w:szCs w:val="21"/>
              </w:rPr>
              <w:t>2.1</w:t>
            </w:r>
          </w:p>
        </w:tc>
        <w:tc>
          <w:tcPr>
            <w:tcW w:w="759" w:type="pct"/>
            <w:noWrap w:val="0"/>
            <w:vAlign w:val="center"/>
          </w:tcPr>
          <w:p w14:paraId="130F7729">
            <w:pPr>
              <w:ind w:firstLine="28"/>
              <w:jc w:val="center"/>
              <w:rPr>
                <w:rFonts w:hint="eastAsia" w:ascii="宋体" w:hAnsi="宋体" w:cs="宋体"/>
                <w:szCs w:val="21"/>
                <w:highlight w:val="none"/>
              </w:rPr>
            </w:pPr>
            <w:r>
              <w:rPr>
                <w:rFonts w:hint="eastAsia" w:ascii="宋体" w:hAnsi="宋体" w:cs="宋体"/>
                <w:szCs w:val="21"/>
                <w:highlight w:val="none"/>
              </w:rPr>
              <w:t>项目重点、难点分析及配套措施</w:t>
            </w:r>
          </w:p>
        </w:tc>
        <w:tc>
          <w:tcPr>
            <w:tcW w:w="415" w:type="pct"/>
            <w:noWrap w:val="0"/>
            <w:vAlign w:val="center"/>
          </w:tcPr>
          <w:p w14:paraId="53A80827">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w:t>
            </w:r>
          </w:p>
        </w:tc>
        <w:tc>
          <w:tcPr>
            <w:tcW w:w="2123" w:type="pct"/>
            <w:noWrap w:val="0"/>
            <w:vAlign w:val="center"/>
          </w:tcPr>
          <w:p w14:paraId="1BABD23C">
            <w:pPr>
              <w:rPr>
                <w:rFonts w:hint="eastAsia" w:ascii="宋体" w:hAnsi="宋体" w:cs="宋体"/>
                <w:szCs w:val="21"/>
                <w:highlight w:val="none"/>
              </w:rPr>
            </w:pPr>
            <w:r>
              <w:rPr>
                <w:rFonts w:hint="eastAsia" w:ascii="宋体" w:hAnsi="宋体" w:cs="宋体"/>
                <w:szCs w:val="21"/>
                <w:highlight w:val="none"/>
              </w:rPr>
              <w:t>供应商针对本项目抽检及检测工作的重点和难点进行阐述，并且针对重点难点提供相应的配套措施。方案科学合理、有效保障项目实施，能满足采购人要求得</w:t>
            </w:r>
            <w:r>
              <w:rPr>
                <w:rFonts w:hint="eastAsia" w:ascii="宋体" w:hAnsi="宋体" w:cs="宋体"/>
                <w:szCs w:val="21"/>
                <w:highlight w:val="none"/>
                <w:lang w:val="en-US" w:eastAsia="zh-CN"/>
              </w:rPr>
              <w:t>5</w:t>
            </w:r>
            <w:r>
              <w:rPr>
                <w:rFonts w:hint="eastAsia" w:ascii="宋体" w:hAnsi="宋体" w:cs="宋体"/>
                <w:szCs w:val="21"/>
                <w:highlight w:val="none"/>
              </w:rPr>
              <w:t>分；方案较科学合理，能较好的保障项目实施，较好的满足采购人要求得</w:t>
            </w:r>
            <w:r>
              <w:rPr>
                <w:rFonts w:hint="eastAsia" w:ascii="宋体" w:hAnsi="宋体" w:cs="宋体"/>
                <w:szCs w:val="21"/>
                <w:highlight w:val="none"/>
                <w:lang w:val="en-US" w:eastAsia="zh-CN"/>
              </w:rPr>
              <w:t>4</w:t>
            </w:r>
            <w:r>
              <w:rPr>
                <w:rFonts w:hint="eastAsia" w:ascii="宋体" w:hAnsi="宋体" w:cs="宋体"/>
                <w:szCs w:val="21"/>
                <w:highlight w:val="none"/>
              </w:rPr>
              <w:t>分；方案科学性一般，能基本保障项目实施得</w:t>
            </w:r>
            <w:r>
              <w:rPr>
                <w:rFonts w:hint="eastAsia" w:ascii="宋体" w:hAnsi="宋体" w:cs="宋体"/>
                <w:szCs w:val="21"/>
                <w:highlight w:val="none"/>
                <w:lang w:val="en-US" w:eastAsia="zh-CN"/>
              </w:rPr>
              <w:t>3</w:t>
            </w:r>
            <w:r>
              <w:rPr>
                <w:rFonts w:hint="eastAsia" w:ascii="宋体" w:hAnsi="宋体" w:cs="宋体"/>
                <w:szCs w:val="21"/>
                <w:highlight w:val="none"/>
              </w:rPr>
              <w:t>分，方案不完善无法较好完成项目实施的得</w:t>
            </w:r>
            <w:r>
              <w:rPr>
                <w:rFonts w:hint="eastAsia" w:ascii="宋体" w:hAnsi="宋体" w:cs="宋体"/>
                <w:szCs w:val="21"/>
                <w:highlight w:val="none"/>
                <w:lang w:val="en-US" w:eastAsia="zh-CN"/>
              </w:rPr>
              <w:t>2</w:t>
            </w:r>
            <w:r>
              <w:rPr>
                <w:rFonts w:hint="eastAsia" w:ascii="宋体" w:hAnsi="宋体" w:cs="宋体"/>
                <w:szCs w:val="21"/>
                <w:highlight w:val="none"/>
              </w:rPr>
              <w:t>分，其他不得分。</w:t>
            </w:r>
          </w:p>
        </w:tc>
        <w:tc>
          <w:tcPr>
            <w:tcW w:w="1267" w:type="pct"/>
            <w:noWrap w:val="0"/>
            <w:vAlign w:val="center"/>
          </w:tcPr>
          <w:p w14:paraId="42F9E4C7">
            <w:pPr>
              <w:rPr>
                <w:rFonts w:hint="eastAsia"/>
                <w:szCs w:val="21"/>
              </w:rPr>
            </w:pPr>
          </w:p>
        </w:tc>
      </w:tr>
      <w:tr w14:paraId="3ED03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5" w:hRule="atLeast"/>
        </w:trPr>
        <w:tc>
          <w:tcPr>
            <w:tcW w:w="434" w:type="pct"/>
            <w:noWrap w:val="0"/>
            <w:vAlign w:val="center"/>
          </w:tcPr>
          <w:p w14:paraId="02379D50">
            <w:pPr>
              <w:ind w:firstLine="28"/>
              <w:jc w:val="center"/>
              <w:rPr>
                <w:rFonts w:ascii="宋体" w:hAnsi="宋体" w:cs="宋体"/>
                <w:szCs w:val="21"/>
              </w:rPr>
            </w:pPr>
            <w:r>
              <w:rPr>
                <w:rFonts w:hint="eastAsia" w:ascii="宋体" w:hAnsi="宋体" w:cs="宋体"/>
                <w:szCs w:val="21"/>
              </w:rPr>
              <w:t>2.2</w:t>
            </w:r>
          </w:p>
        </w:tc>
        <w:tc>
          <w:tcPr>
            <w:tcW w:w="759" w:type="pct"/>
            <w:noWrap w:val="0"/>
            <w:vAlign w:val="center"/>
          </w:tcPr>
          <w:p w14:paraId="5B670A03">
            <w:pPr>
              <w:ind w:firstLine="28"/>
              <w:jc w:val="center"/>
              <w:rPr>
                <w:rFonts w:hint="eastAsia" w:ascii="宋体" w:hAnsi="宋体" w:cs="宋体"/>
                <w:szCs w:val="21"/>
              </w:rPr>
            </w:pPr>
            <w:r>
              <w:rPr>
                <w:rFonts w:hint="eastAsia" w:ascii="宋体" w:hAnsi="宋体" w:cs="宋体"/>
                <w:szCs w:val="21"/>
              </w:rPr>
              <w:t>项目进度及保障方案</w:t>
            </w:r>
          </w:p>
        </w:tc>
        <w:tc>
          <w:tcPr>
            <w:tcW w:w="415" w:type="pct"/>
            <w:noWrap w:val="0"/>
            <w:vAlign w:val="center"/>
          </w:tcPr>
          <w:p w14:paraId="78293518">
            <w:pPr>
              <w:ind w:firstLine="28"/>
              <w:jc w:val="center"/>
              <w:rPr>
                <w:rFonts w:ascii="宋体" w:hAnsi="宋体" w:cs="宋体"/>
                <w:szCs w:val="21"/>
              </w:rPr>
            </w:pPr>
            <w:r>
              <w:rPr>
                <w:rFonts w:hint="eastAsia" w:ascii="宋体" w:hAnsi="宋体" w:cs="宋体"/>
                <w:szCs w:val="21"/>
              </w:rPr>
              <w:t>5</w:t>
            </w:r>
          </w:p>
        </w:tc>
        <w:tc>
          <w:tcPr>
            <w:tcW w:w="2123" w:type="pct"/>
            <w:noWrap w:val="0"/>
            <w:vAlign w:val="center"/>
          </w:tcPr>
          <w:p w14:paraId="38085D0F">
            <w:pPr>
              <w:tabs>
                <w:tab w:val="left" w:pos="869"/>
              </w:tabs>
              <w:rPr>
                <w:rFonts w:hint="eastAsia" w:ascii="宋体" w:hAnsi="宋体" w:cs="宋体"/>
                <w:szCs w:val="21"/>
              </w:rPr>
            </w:pPr>
            <w:r>
              <w:rPr>
                <w:rFonts w:hint="eastAsia" w:ascii="宋体" w:hAnsi="宋体" w:cs="宋体"/>
                <w:szCs w:val="21"/>
              </w:rPr>
              <w:t>供应商针对本项目制定保障服务方案，详细列明抽样、检测工作进度计划，配套的人员的工作安排及保障措施。方案科学合理、有效保障项目实施，能满足采购人要求得5分；方案较科学合理，能较好的保障项目实施，较好的满足采购人要求得4分；方案科学性一般，能基本保障项目实施得</w:t>
            </w:r>
            <w:r>
              <w:rPr>
                <w:rFonts w:hint="eastAsia" w:ascii="宋体" w:hAnsi="宋体" w:cs="宋体"/>
                <w:szCs w:val="21"/>
                <w:lang w:val="en-US" w:eastAsia="zh-CN"/>
              </w:rPr>
              <w:t>3</w:t>
            </w:r>
            <w:r>
              <w:rPr>
                <w:rFonts w:hint="eastAsia" w:ascii="宋体" w:hAnsi="宋体" w:cs="宋体"/>
                <w:szCs w:val="21"/>
              </w:rPr>
              <w:t>分，方案不完善无法较好完成项目实施的得</w:t>
            </w:r>
            <w:r>
              <w:rPr>
                <w:rFonts w:hint="eastAsia" w:ascii="宋体" w:hAnsi="宋体" w:cs="宋体"/>
                <w:szCs w:val="21"/>
                <w:lang w:val="en-US" w:eastAsia="zh-CN"/>
              </w:rPr>
              <w:t>2</w:t>
            </w:r>
            <w:r>
              <w:rPr>
                <w:rFonts w:hint="eastAsia" w:ascii="宋体" w:hAnsi="宋体" w:cs="宋体"/>
                <w:szCs w:val="21"/>
              </w:rPr>
              <w:t>分，其他不得分。</w:t>
            </w:r>
          </w:p>
        </w:tc>
        <w:tc>
          <w:tcPr>
            <w:tcW w:w="1267" w:type="pct"/>
            <w:noWrap w:val="0"/>
            <w:vAlign w:val="center"/>
          </w:tcPr>
          <w:p w14:paraId="47C7DF8A">
            <w:pPr>
              <w:ind w:left="-38"/>
              <w:rPr>
                <w:rFonts w:hint="eastAsia" w:ascii="宋体" w:hAnsi="宋体" w:cs="宋体"/>
                <w:szCs w:val="21"/>
              </w:rPr>
            </w:pPr>
          </w:p>
        </w:tc>
      </w:tr>
      <w:tr w14:paraId="4FE1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1" w:hRule="atLeast"/>
        </w:trPr>
        <w:tc>
          <w:tcPr>
            <w:tcW w:w="434" w:type="pct"/>
            <w:noWrap w:val="0"/>
            <w:vAlign w:val="center"/>
          </w:tcPr>
          <w:p w14:paraId="73D50C8A">
            <w:pPr>
              <w:ind w:firstLine="28"/>
              <w:jc w:val="center"/>
              <w:rPr>
                <w:rFonts w:hint="eastAsia" w:ascii="宋体" w:hAnsi="宋体" w:cs="宋体"/>
                <w:szCs w:val="21"/>
              </w:rPr>
            </w:pPr>
            <w:r>
              <w:rPr>
                <w:rFonts w:hint="eastAsia" w:ascii="宋体" w:hAnsi="宋体" w:cs="宋体"/>
                <w:szCs w:val="21"/>
              </w:rPr>
              <w:t>2.3</w:t>
            </w:r>
          </w:p>
        </w:tc>
        <w:tc>
          <w:tcPr>
            <w:tcW w:w="759" w:type="pct"/>
            <w:noWrap w:val="0"/>
            <w:vAlign w:val="center"/>
          </w:tcPr>
          <w:p w14:paraId="10680077">
            <w:pPr>
              <w:ind w:firstLine="28"/>
              <w:jc w:val="center"/>
              <w:rPr>
                <w:rFonts w:hint="eastAsia" w:ascii="宋体" w:hAnsi="宋体" w:cs="宋体"/>
                <w:szCs w:val="21"/>
              </w:rPr>
            </w:pPr>
            <w:r>
              <w:rPr>
                <w:rFonts w:hint="eastAsia" w:ascii="宋体" w:hAnsi="宋体" w:cs="宋体"/>
                <w:szCs w:val="21"/>
              </w:rPr>
              <w:t>采样流程及方案</w:t>
            </w:r>
          </w:p>
        </w:tc>
        <w:tc>
          <w:tcPr>
            <w:tcW w:w="415" w:type="pct"/>
            <w:noWrap w:val="0"/>
            <w:vAlign w:val="center"/>
          </w:tcPr>
          <w:p w14:paraId="466EA5F8">
            <w:pPr>
              <w:ind w:firstLine="28"/>
              <w:jc w:val="center"/>
              <w:rPr>
                <w:rFonts w:hint="eastAsia" w:ascii="宋体" w:hAnsi="宋体" w:cs="宋体"/>
                <w:szCs w:val="21"/>
              </w:rPr>
            </w:pPr>
            <w:r>
              <w:rPr>
                <w:rFonts w:hint="eastAsia" w:ascii="宋体" w:hAnsi="宋体" w:cs="宋体"/>
                <w:szCs w:val="21"/>
              </w:rPr>
              <w:t>5</w:t>
            </w:r>
          </w:p>
        </w:tc>
        <w:tc>
          <w:tcPr>
            <w:tcW w:w="2123" w:type="pct"/>
            <w:noWrap w:val="0"/>
            <w:vAlign w:val="center"/>
          </w:tcPr>
          <w:p w14:paraId="1A9A4B99">
            <w:pPr>
              <w:tabs>
                <w:tab w:val="left" w:pos="869"/>
              </w:tabs>
              <w:rPr>
                <w:rFonts w:hint="eastAsia" w:ascii="宋体" w:hAnsi="宋体" w:cs="宋体"/>
                <w:szCs w:val="21"/>
              </w:rPr>
            </w:pPr>
            <w:r>
              <w:rPr>
                <w:rFonts w:hint="eastAsia" w:ascii="宋体" w:hAnsi="宋体" w:cs="宋体"/>
                <w:szCs w:val="21"/>
              </w:rPr>
              <w:t>供应商列明采样规范和制度，明确采样过程中的注意事项，制定配套的保障措施。方案科学合理、有效保障项目实施，能满足采购人要求得5分；方案较科学合理，能较好的保障项目实施，较好的满足采购人要求得4分；方案科学性一般，能基本保障项目实施得</w:t>
            </w:r>
            <w:r>
              <w:rPr>
                <w:rFonts w:hint="eastAsia" w:ascii="宋体" w:hAnsi="宋体" w:cs="宋体"/>
                <w:szCs w:val="21"/>
                <w:lang w:val="en-US" w:eastAsia="zh-CN"/>
              </w:rPr>
              <w:t>3</w:t>
            </w:r>
            <w:r>
              <w:rPr>
                <w:rFonts w:hint="eastAsia" w:ascii="宋体" w:hAnsi="宋体" w:cs="宋体"/>
                <w:szCs w:val="21"/>
              </w:rPr>
              <w:t>分，方案不完善无法较好完成项目实施的得</w:t>
            </w:r>
            <w:r>
              <w:rPr>
                <w:rFonts w:hint="eastAsia" w:ascii="宋体" w:hAnsi="宋体" w:cs="宋体"/>
                <w:szCs w:val="21"/>
                <w:lang w:val="en-US" w:eastAsia="zh-CN"/>
              </w:rPr>
              <w:t>2</w:t>
            </w:r>
            <w:r>
              <w:rPr>
                <w:rFonts w:hint="eastAsia" w:ascii="宋体" w:hAnsi="宋体" w:cs="宋体"/>
                <w:szCs w:val="21"/>
              </w:rPr>
              <w:t>分，其他不得分。</w:t>
            </w:r>
          </w:p>
        </w:tc>
        <w:tc>
          <w:tcPr>
            <w:tcW w:w="1267" w:type="pct"/>
            <w:noWrap w:val="0"/>
            <w:vAlign w:val="center"/>
          </w:tcPr>
          <w:p w14:paraId="635364FB">
            <w:pPr>
              <w:ind w:left="-38"/>
              <w:rPr>
                <w:rFonts w:hint="eastAsia" w:ascii="宋体" w:hAnsi="宋体" w:cs="宋体"/>
                <w:szCs w:val="21"/>
              </w:rPr>
            </w:pPr>
          </w:p>
        </w:tc>
      </w:tr>
      <w:tr w14:paraId="58CB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noWrap w:val="0"/>
            <w:vAlign w:val="center"/>
          </w:tcPr>
          <w:p w14:paraId="69C4149D">
            <w:pPr>
              <w:ind w:firstLine="28"/>
              <w:jc w:val="center"/>
              <w:rPr>
                <w:rFonts w:hint="eastAsia" w:ascii="宋体" w:hAnsi="宋体" w:cs="宋体"/>
                <w:szCs w:val="21"/>
              </w:rPr>
            </w:pPr>
            <w:r>
              <w:rPr>
                <w:rFonts w:hint="eastAsia" w:ascii="宋体" w:hAnsi="宋体" w:cs="宋体"/>
                <w:szCs w:val="21"/>
              </w:rPr>
              <w:t>2</w:t>
            </w:r>
            <w:r>
              <w:rPr>
                <w:rFonts w:ascii="宋体" w:hAnsi="宋体" w:cs="宋体"/>
                <w:szCs w:val="21"/>
              </w:rPr>
              <w:t>.4</w:t>
            </w:r>
          </w:p>
        </w:tc>
        <w:tc>
          <w:tcPr>
            <w:tcW w:w="759" w:type="pct"/>
            <w:noWrap w:val="0"/>
            <w:vAlign w:val="center"/>
          </w:tcPr>
          <w:p w14:paraId="20009A23">
            <w:pPr>
              <w:snapToGrid w:val="0"/>
              <w:jc w:val="center"/>
              <w:rPr>
                <w:rFonts w:hint="eastAsia" w:ascii="宋体" w:hAnsi="宋体" w:cs="宋体"/>
                <w:bCs/>
                <w:szCs w:val="21"/>
              </w:rPr>
            </w:pPr>
            <w:r>
              <w:rPr>
                <w:rFonts w:hint="eastAsia" w:ascii="宋体" w:hAnsi="宋体" w:cs="宋体"/>
                <w:szCs w:val="21"/>
              </w:rPr>
              <w:t>检验流程及方案</w:t>
            </w:r>
          </w:p>
        </w:tc>
        <w:tc>
          <w:tcPr>
            <w:tcW w:w="415" w:type="pct"/>
            <w:noWrap w:val="0"/>
            <w:vAlign w:val="center"/>
          </w:tcPr>
          <w:p w14:paraId="472C1663">
            <w:pPr>
              <w:ind w:firstLine="28"/>
              <w:jc w:val="center"/>
              <w:rPr>
                <w:rFonts w:hint="eastAsia" w:ascii="宋体" w:hAnsi="宋体" w:cs="宋体"/>
                <w:szCs w:val="21"/>
              </w:rPr>
            </w:pPr>
            <w:r>
              <w:rPr>
                <w:rFonts w:hint="eastAsia" w:ascii="宋体" w:hAnsi="宋体" w:cs="宋体"/>
                <w:szCs w:val="21"/>
              </w:rPr>
              <w:t>5</w:t>
            </w:r>
          </w:p>
        </w:tc>
        <w:tc>
          <w:tcPr>
            <w:tcW w:w="2123" w:type="pct"/>
            <w:noWrap w:val="0"/>
            <w:vAlign w:val="center"/>
          </w:tcPr>
          <w:p w14:paraId="22F31E9F">
            <w:pPr>
              <w:rPr>
                <w:rFonts w:hint="eastAsia" w:ascii="宋体" w:hAnsi="宋体" w:cs="宋体"/>
                <w:bCs/>
                <w:szCs w:val="21"/>
              </w:rPr>
            </w:pPr>
            <w:r>
              <w:rPr>
                <w:rFonts w:hint="eastAsia" w:ascii="宋体" w:hAnsi="宋体" w:cs="宋体"/>
                <w:szCs w:val="21"/>
              </w:rPr>
              <w:t>供应商列明检验规范和制度，明确检验过程中的注意事项，制定相关的保障措施。方案科学合理、有效保障项目实施，能满足采购人要求得5分；方案较科学合理，能较好的保障项目实施，较好的满足采购人要求得4分；方案科学性一般，能基本保障项目实施得</w:t>
            </w:r>
            <w:r>
              <w:rPr>
                <w:rFonts w:hint="eastAsia" w:ascii="宋体" w:hAnsi="宋体" w:cs="宋体"/>
                <w:szCs w:val="21"/>
                <w:lang w:val="en-US" w:eastAsia="zh-CN"/>
              </w:rPr>
              <w:t>3</w:t>
            </w:r>
            <w:r>
              <w:rPr>
                <w:rFonts w:hint="eastAsia" w:ascii="宋体" w:hAnsi="宋体" w:cs="宋体"/>
                <w:szCs w:val="21"/>
              </w:rPr>
              <w:t>分，方案不完善无法较好完成项目实施的得</w:t>
            </w:r>
            <w:r>
              <w:rPr>
                <w:rFonts w:hint="eastAsia" w:ascii="宋体" w:hAnsi="宋体" w:cs="宋体"/>
                <w:szCs w:val="21"/>
                <w:lang w:val="en-US" w:eastAsia="zh-CN"/>
              </w:rPr>
              <w:t>2</w:t>
            </w:r>
            <w:r>
              <w:rPr>
                <w:rFonts w:hint="eastAsia" w:ascii="宋体" w:hAnsi="宋体" w:cs="宋体"/>
                <w:szCs w:val="21"/>
              </w:rPr>
              <w:t>分，其他不得分。</w:t>
            </w:r>
          </w:p>
        </w:tc>
        <w:tc>
          <w:tcPr>
            <w:tcW w:w="1267" w:type="pct"/>
            <w:noWrap w:val="0"/>
            <w:vAlign w:val="center"/>
          </w:tcPr>
          <w:p w14:paraId="7E6F9CF1">
            <w:pPr>
              <w:ind w:left="-38"/>
              <w:rPr>
                <w:rFonts w:hint="eastAsia" w:ascii="宋体" w:hAnsi="宋体" w:cs="宋体"/>
                <w:szCs w:val="21"/>
              </w:rPr>
            </w:pPr>
          </w:p>
        </w:tc>
      </w:tr>
      <w:tr w14:paraId="5405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noWrap w:val="0"/>
            <w:vAlign w:val="center"/>
          </w:tcPr>
          <w:p w14:paraId="287BD36A">
            <w:pPr>
              <w:ind w:firstLine="28"/>
              <w:jc w:val="center"/>
              <w:rPr>
                <w:rFonts w:hint="eastAsia" w:ascii="宋体" w:hAnsi="宋体" w:cs="宋体"/>
                <w:szCs w:val="21"/>
              </w:rPr>
            </w:pPr>
            <w:r>
              <w:rPr>
                <w:rFonts w:hint="eastAsia" w:ascii="宋体" w:hAnsi="宋体" w:cs="宋体"/>
                <w:szCs w:val="21"/>
              </w:rPr>
              <w:t>2</w:t>
            </w:r>
            <w:r>
              <w:rPr>
                <w:rFonts w:ascii="宋体" w:hAnsi="宋体" w:cs="宋体"/>
                <w:szCs w:val="21"/>
              </w:rPr>
              <w:t>.5</w:t>
            </w:r>
          </w:p>
        </w:tc>
        <w:tc>
          <w:tcPr>
            <w:tcW w:w="759" w:type="pct"/>
            <w:noWrap w:val="0"/>
            <w:vAlign w:val="center"/>
          </w:tcPr>
          <w:p w14:paraId="524C94A3">
            <w:pPr>
              <w:snapToGrid w:val="0"/>
              <w:jc w:val="center"/>
              <w:rPr>
                <w:rFonts w:hint="eastAsia" w:ascii="宋体" w:hAnsi="宋体" w:cs="宋体"/>
                <w:bCs/>
                <w:szCs w:val="21"/>
              </w:rPr>
            </w:pPr>
            <w:r>
              <w:rPr>
                <w:rFonts w:hint="eastAsia" w:ascii="宋体" w:hAnsi="宋体" w:cs="宋体"/>
                <w:szCs w:val="21"/>
              </w:rPr>
              <w:t>应急响应方案</w:t>
            </w:r>
          </w:p>
        </w:tc>
        <w:tc>
          <w:tcPr>
            <w:tcW w:w="415" w:type="pct"/>
            <w:noWrap w:val="0"/>
            <w:vAlign w:val="center"/>
          </w:tcPr>
          <w:p w14:paraId="4EF2D7B0">
            <w:pPr>
              <w:ind w:firstLine="28"/>
              <w:jc w:val="center"/>
              <w:rPr>
                <w:rFonts w:hint="eastAsia" w:ascii="宋体" w:hAnsi="宋体" w:cs="宋体"/>
                <w:szCs w:val="21"/>
              </w:rPr>
            </w:pPr>
            <w:r>
              <w:rPr>
                <w:rFonts w:hint="eastAsia" w:ascii="宋体" w:hAnsi="宋体" w:cs="宋体"/>
                <w:szCs w:val="21"/>
              </w:rPr>
              <w:t>5</w:t>
            </w:r>
          </w:p>
        </w:tc>
        <w:tc>
          <w:tcPr>
            <w:tcW w:w="2123" w:type="pct"/>
            <w:noWrap w:val="0"/>
            <w:vAlign w:val="center"/>
          </w:tcPr>
          <w:p w14:paraId="024A9E36">
            <w:pPr>
              <w:rPr>
                <w:rFonts w:hint="eastAsia" w:ascii="宋体" w:hAnsi="宋体" w:cs="宋体"/>
                <w:bCs/>
                <w:szCs w:val="21"/>
              </w:rPr>
            </w:pPr>
            <w:r>
              <w:rPr>
                <w:rFonts w:hint="eastAsia" w:ascii="宋体" w:hAnsi="宋体" w:cs="宋体"/>
                <w:szCs w:val="21"/>
              </w:rPr>
              <w:t>供应商根据本项目的情况，制定应急响应方案，方案中详细列明配套的对接方式、人员、车辆、设备等情况。方案科学合理、有效保障项目实施，能满足采购人要求得5分；方案较科学合理，能较好的保障项目实施，较好的满足采购人要求得4分；方案科学性一般，能基本保障项目实施得</w:t>
            </w:r>
            <w:r>
              <w:rPr>
                <w:rFonts w:hint="eastAsia" w:ascii="宋体" w:hAnsi="宋体" w:cs="宋体"/>
                <w:szCs w:val="21"/>
                <w:lang w:val="en-US" w:eastAsia="zh-CN"/>
              </w:rPr>
              <w:t>3</w:t>
            </w:r>
            <w:r>
              <w:rPr>
                <w:rFonts w:hint="eastAsia" w:ascii="宋体" w:hAnsi="宋体" w:cs="宋体"/>
                <w:szCs w:val="21"/>
              </w:rPr>
              <w:t>分，方案不完善无法较好完成项目实施的得</w:t>
            </w:r>
            <w:r>
              <w:rPr>
                <w:rFonts w:hint="eastAsia" w:ascii="宋体" w:hAnsi="宋体" w:cs="宋体"/>
                <w:szCs w:val="21"/>
                <w:lang w:val="en-US" w:eastAsia="zh-CN"/>
              </w:rPr>
              <w:t>2</w:t>
            </w:r>
            <w:r>
              <w:rPr>
                <w:rFonts w:hint="eastAsia" w:ascii="宋体" w:hAnsi="宋体" w:cs="宋体"/>
                <w:szCs w:val="21"/>
              </w:rPr>
              <w:t>分，其他不得分。</w:t>
            </w:r>
          </w:p>
        </w:tc>
        <w:tc>
          <w:tcPr>
            <w:tcW w:w="1267" w:type="pct"/>
            <w:noWrap w:val="0"/>
            <w:vAlign w:val="center"/>
          </w:tcPr>
          <w:p w14:paraId="0F495F64">
            <w:pPr>
              <w:ind w:left="-38"/>
              <w:rPr>
                <w:rFonts w:hint="eastAsia" w:ascii="宋体" w:hAnsi="宋体" w:cs="宋体"/>
                <w:szCs w:val="21"/>
              </w:rPr>
            </w:pPr>
          </w:p>
        </w:tc>
      </w:tr>
      <w:tr w14:paraId="1E9E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noWrap w:val="0"/>
            <w:vAlign w:val="center"/>
          </w:tcPr>
          <w:p w14:paraId="2E49C3EA">
            <w:pPr>
              <w:ind w:firstLine="28"/>
              <w:jc w:val="center"/>
              <w:rPr>
                <w:rFonts w:hint="eastAsia" w:ascii="宋体" w:hAnsi="宋体" w:cs="宋体"/>
                <w:szCs w:val="21"/>
              </w:rPr>
            </w:pPr>
            <w:r>
              <w:rPr>
                <w:rFonts w:hint="eastAsia" w:ascii="宋体" w:hAnsi="宋体" w:cs="宋体"/>
                <w:szCs w:val="21"/>
              </w:rPr>
              <w:t>3</w:t>
            </w:r>
          </w:p>
        </w:tc>
        <w:tc>
          <w:tcPr>
            <w:tcW w:w="759" w:type="pct"/>
            <w:noWrap w:val="0"/>
            <w:vAlign w:val="center"/>
          </w:tcPr>
          <w:p w14:paraId="0054C007">
            <w:pPr>
              <w:ind w:firstLine="28"/>
              <w:jc w:val="center"/>
              <w:rPr>
                <w:rFonts w:hint="eastAsia" w:ascii="宋体" w:hAnsi="宋体" w:cs="宋体"/>
                <w:szCs w:val="21"/>
              </w:rPr>
            </w:pPr>
            <w:r>
              <w:rPr>
                <w:rFonts w:hint="eastAsia" w:ascii="宋体" w:hAnsi="宋体" w:cs="宋体"/>
                <w:szCs w:val="21"/>
                <w:lang w:val="en-US" w:eastAsia="zh-CN"/>
              </w:rPr>
              <w:t>商务</w:t>
            </w:r>
            <w:r>
              <w:rPr>
                <w:rFonts w:hint="eastAsia" w:ascii="宋体" w:hAnsi="宋体" w:cs="宋体"/>
                <w:szCs w:val="21"/>
              </w:rPr>
              <w:t>分</w:t>
            </w:r>
          </w:p>
        </w:tc>
        <w:tc>
          <w:tcPr>
            <w:tcW w:w="415" w:type="pct"/>
            <w:noWrap w:val="0"/>
            <w:vAlign w:val="center"/>
          </w:tcPr>
          <w:p w14:paraId="117E9E70">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45</w:t>
            </w:r>
          </w:p>
        </w:tc>
        <w:tc>
          <w:tcPr>
            <w:tcW w:w="2123" w:type="pct"/>
            <w:noWrap w:val="0"/>
            <w:vAlign w:val="center"/>
          </w:tcPr>
          <w:p w14:paraId="03441D4A">
            <w:pPr>
              <w:rPr>
                <w:rFonts w:hint="eastAsia" w:ascii="宋体" w:hAnsi="宋体" w:cs="宋体"/>
                <w:szCs w:val="21"/>
              </w:rPr>
            </w:pPr>
          </w:p>
        </w:tc>
        <w:tc>
          <w:tcPr>
            <w:tcW w:w="1267" w:type="pct"/>
            <w:noWrap w:val="0"/>
            <w:vAlign w:val="center"/>
          </w:tcPr>
          <w:p w14:paraId="14F26027">
            <w:pPr>
              <w:ind w:left="-38"/>
              <w:rPr>
                <w:rFonts w:hint="eastAsia" w:ascii="宋体" w:hAnsi="宋体" w:cs="宋体"/>
                <w:szCs w:val="21"/>
              </w:rPr>
            </w:pPr>
          </w:p>
        </w:tc>
      </w:tr>
      <w:tr w14:paraId="47B8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noWrap w:val="0"/>
            <w:vAlign w:val="center"/>
          </w:tcPr>
          <w:p w14:paraId="7774B279">
            <w:pPr>
              <w:ind w:firstLine="28"/>
              <w:jc w:val="center"/>
              <w:rPr>
                <w:rFonts w:hint="eastAsia" w:ascii="宋体" w:hAnsi="宋体" w:cs="宋体"/>
                <w:szCs w:val="21"/>
              </w:rPr>
            </w:pPr>
            <w:r>
              <w:rPr>
                <w:rFonts w:hint="eastAsia" w:ascii="宋体" w:hAnsi="宋体" w:cs="宋体"/>
                <w:szCs w:val="21"/>
              </w:rPr>
              <w:t>3.1</w:t>
            </w:r>
          </w:p>
        </w:tc>
        <w:tc>
          <w:tcPr>
            <w:tcW w:w="759" w:type="pct"/>
            <w:noWrap w:val="0"/>
            <w:vAlign w:val="center"/>
          </w:tcPr>
          <w:p w14:paraId="6A6013E2">
            <w:pPr>
              <w:snapToGrid w:val="0"/>
              <w:jc w:val="center"/>
              <w:rPr>
                <w:rFonts w:hint="eastAsia" w:ascii="宋体" w:hAnsi="宋体" w:cs="宋体"/>
                <w:szCs w:val="21"/>
                <w:highlight w:val="none"/>
              </w:rPr>
            </w:pPr>
            <w:r>
              <w:rPr>
                <w:rFonts w:hint="eastAsia" w:ascii="宋体" w:hAnsi="宋体" w:cs="宋体"/>
                <w:bCs/>
                <w:szCs w:val="21"/>
                <w:highlight w:val="none"/>
              </w:rPr>
              <w:t>业绩</w:t>
            </w:r>
          </w:p>
        </w:tc>
        <w:tc>
          <w:tcPr>
            <w:tcW w:w="415" w:type="pct"/>
            <w:noWrap w:val="0"/>
            <w:vAlign w:val="center"/>
          </w:tcPr>
          <w:p w14:paraId="03FE243A">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6</w:t>
            </w:r>
          </w:p>
        </w:tc>
        <w:tc>
          <w:tcPr>
            <w:tcW w:w="2123" w:type="pct"/>
            <w:noWrap w:val="0"/>
            <w:vAlign w:val="center"/>
          </w:tcPr>
          <w:p w14:paraId="05C4B788">
            <w:pPr>
              <w:rPr>
                <w:rFonts w:hint="eastAsia" w:ascii="宋体" w:hAnsi="宋体" w:cs="宋体"/>
                <w:szCs w:val="21"/>
                <w:highlight w:val="none"/>
              </w:rPr>
            </w:pPr>
            <w:r>
              <w:rPr>
                <w:rFonts w:hint="eastAsia" w:ascii="宋体" w:hAnsi="宋体" w:cs="宋体"/>
                <w:szCs w:val="21"/>
                <w:highlight w:val="none"/>
              </w:rPr>
              <w:t>自202</w:t>
            </w:r>
            <w:r>
              <w:rPr>
                <w:rFonts w:hint="eastAsia" w:ascii="宋体" w:hAnsi="宋体" w:cs="宋体"/>
                <w:szCs w:val="21"/>
                <w:highlight w:val="none"/>
                <w:lang w:val="en-US" w:eastAsia="zh-CN"/>
              </w:rPr>
              <w:t>3</w:t>
            </w:r>
            <w:r>
              <w:rPr>
                <w:rFonts w:hint="eastAsia" w:ascii="宋体" w:hAnsi="宋体" w:cs="宋体"/>
                <w:szCs w:val="21"/>
                <w:highlight w:val="none"/>
              </w:rPr>
              <w:t>年1月1日以来，供应商承担过政府食品安全监管部门委托的食品安全监督抽检工作经历，有一个得</w:t>
            </w:r>
            <w:r>
              <w:rPr>
                <w:rFonts w:hint="eastAsia" w:ascii="宋体" w:hAnsi="宋体" w:cs="宋体"/>
                <w:szCs w:val="21"/>
                <w:highlight w:val="none"/>
                <w:lang w:val="en-US" w:eastAsia="zh-CN"/>
              </w:rPr>
              <w:t>1</w:t>
            </w:r>
            <w:r>
              <w:rPr>
                <w:rFonts w:hint="eastAsia" w:ascii="宋体" w:hAnsi="宋体" w:cs="宋体"/>
                <w:szCs w:val="21"/>
                <w:highlight w:val="none"/>
              </w:rPr>
              <w:t>分，最高得</w:t>
            </w:r>
            <w:r>
              <w:rPr>
                <w:rFonts w:hint="eastAsia" w:ascii="宋体" w:hAnsi="宋体" w:cs="宋体"/>
                <w:szCs w:val="21"/>
                <w:highlight w:val="none"/>
                <w:lang w:val="en-US" w:eastAsia="zh-CN"/>
              </w:rPr>
              <w:t>6</w:t>
            </w:r>
            <w:r>
              <w:rPr>
                <w:rFonts w:hint="eastAsia" w:ascii="宋体" w:hAnsi="宋体" w:cs="宋体"/>
                <w:szCs w:val="21"/>
                <w:highlight w:val="none"/>
              </w:rPr>
              <w:t>分。</w:t>
            </w:r>
          </w:p>
        </w:tc>
        <w:tc>
          <w:tcPr>
            <w:tcW w:w="1267" w:type="pct"/>
            <w:noWrap w:val="0"/>
            <w:vAlign w:val="center"/>
          </w:tcPr>
          <w:p w14:paraId="0E53F39B">
            <w:pPr>
              <w:ind w:left="-38"/>
              <w:rPr>
                <w:rFonts w:hint="eastAsia" w:ascii="宋体" w:hAnsi="宋体" w:eastAsia="宋体" w:cs="宋体"/>
                <w:szCs w:val="21"/>
                <w:lang w:eastAsia="zh-CN"/>
              </w:rPr>
            </w:pPr>
            <w:r>
              <w:rPr>
                <w:rFonts w:ascii="宋体" w:hAnsi="宋体" w:cs="宋体"/>
                <w:szCs w:val="21"/>
              </w:rPr>
              <w:t>提供</w:t>
            </w:r>
            <w:r>
              <w:rPr>
                <w:rFonts w:hint="eastAsia" w:ascii="宋体" w:hAnsi="宋体" w:cs="宋体"/>
                <w:szCs w:val="21"/>
                <w:lang w:val="en-US" w:eastAsia="zh-CN"/>
              </w:rPr>
              <w:t>中标通知书或任务书、</w:t>
            </w:r>
            <w:r>
              <w:rPr>
                <w:rFonts w:ascii="宋体" w:hAnsi="宋体" w:cs="宋体"/>
                <w:szCs w:val="21"/>
              </w:rPr>
              <w:t>合同</w:t>
            </w:r>
            <w:r>
              <w:rPr>
                <w:rFonts w:hint="eastAsia" w:ascii="宋体" w:hAnsi="宋体" w:cs="宋体"/>
                <w:szCs w:val="21"/>
                <w:lang w:eastAsia="zh-CN"/>
              </w:rPr>
              <w:t>。（</w:t>
            </w:r>
            <w:r>
              <w:rPr>
                <w:rFonts w:hint="eastAsia" w:ascii="宋体" w:hAnsi="宋体" w:cs="宋体"/>
                <w:szCs w:val="21"/>
                <w:lang w:val="en-US" w:eastAsia="zh-CN"/>
              </w:rPr>
              <w:t>时间以合同签订时间为准</w:t>
            </w:r>
            <w:r>
              <w:rPr>
                <w:rFonts w:hint="eastAsia" w:ascii="宋体" w:hAnsi="宋体" w:cs="宋体"/>
                <w:szCs w:val="21"/>
                <w:lang w:eastAsia="zh-CN"/>
              </w:rPr>
              <w:t>）</w:t>
            </w:r>
          </w:p>
        </w:tc>
      </w:tr>
      <w:tr w14:paraId="0429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434" w:type="pct"/>
            <w:noWrap w:val="0"/>
            <w:vAlign w:val="center"/>
          </w:tcPr>
          <w:p w14:paraId="40E340D9">
            <w:pPr>
              <w:jc w:val="center"/>
              <w:rPr>
                <w:rFonts w:ascii="宋体" w:hAnsi="宋体" w:cs="宋体"/>
                <w:bCs/>
                <w:szCs w:val="21"/>
              </w:rPr>
            </w:pPr>
            <w:r>
              <w:rPr>
                <w:rFonts w:hint="eastAsia" w:ascii="宋体" w:hAnsi="宋体" w:cs="宋体"/>
                <w:bCs/>
                <w:szCs w:val="21"/>
              </w:rPr>
              <w:t>3.2</w:t>
            </w:r>
          </w:p>
        </w:tc>
        <w:tc>
          <w:tcPr>
            <w:tcW w:w="759" w:type="pct"/>
            <w:noWrap w:val="0"/>
            <w:vAlign w:val="center"/>
          </w:tcPr>
          <w:p w14:paraId="2245A09A">
            <w:pPr>
              <w:jc w:val="center"/>
              <w:rPr>
                <w:rFonts w:hint="eastAsia" w:ascii="宋体" w:hAnsi="宋体" w:cs="宋体"/>
                <w:bCs/>
                <w:szCs w:val="21"/>
              </w:rPr>
            </w:pPr>
            <w:r>
              <w:rPr>
                <w:rFonts w:hint="eastAsia" w:ascii="宋体" w:hAnsi="宋体" w:cs="宋体"/>
                <w:bCs/>
                <w:szCs w:val="21"/>
              </w:rPr>
              <w:t>应急抽检能力</w:t>
            </w:r>
          </w:p>
        </w:tc>
        <w:tc>
          <w:tcPr>
            <w:tcW w:w="415" w:type="pct"/>
            <w:noWrap w:val="0"/>
            <w:vAlign w:val="center"/>
          </w:tcPr>
          <w:p w14:paraId="02E97C03">
            <w:pPr>
              <w:jc w:val="center"/>
              <w:rPr>
                <w:rFonts w:hint="eastAsia" w:ascii="宋体" w:hAnsi="宋体" w:eastAsia="宋体" w:cs="宋体"/>
                <w:bCs/>
                <w:szCs w:val="21"/>
                <w:lang w:eastAsia="zh-CN"/>
              </w:rPr>
            </w:pPr>
            <w:r>
              <w:rPr>
                <w:rFonts w:hint="eastAsia" w:ascii="宋体" w:hAnsi="宋体" w:cs="宋体"/>
                <w:bCs/>
                <w:szCs w:val="21"/>
                <w:lang w:val="en-US" w:eastAsia="zh-CN"/>
              </w:rPr>
              <w:t>5</w:t>
            </w:r>
          </w:p>
        </w:tc>
        <w:tc>
          <w:tcPr>
            <w:tcW w:w="2123" w:type="pct"/>
            <w:noWrap w:val="0"/>
            <w:vAlign w:val="center"/>
          </w:tcPr>
          <w:p w14:paraId="7A4CAEFE">
            <w:pPr>
              <w:widowControl/>
              <w:jc w:val="left"/>
              <w:rPr>
                <w:rFonts w:hint="eastAsia" w:ascii="宋体" w:hAnsi="宋体" w:cs="宋体"/>
                <w:bCs/>
                <w:szCs w:val="21"/>
              </w:rPr>
            </w:pPr>
            <w:r>
              <w:rPr>
                <w:rFonts w:hint="eastAsia" w:ascii="宋体" w:hAnsi="宋体" w:cs="宋体"/>
                <w:szCs w:val="21"/>
                <w:lang w:val="en-US" w:eastAsia="zh-CN"/>
              </w:rPr>
              <w:t>供应商</w:t>
            </w:r>
            <w:r>
              <w:rPr>
                <w:rFonts w:hint="eastAsia" w:ascii="宋体" w:hAnsi="宋体" w:eastAsia="宋体" w:cs="宋体"/>
                <w:szCs w:val="21"/>
              </w:rPr>
              <w:t>具备突发食品安全事故应急抽检能力，</w:t>
            </w:r>
            <w:r>
              <w:rPr>
                <w:rFonts w:hint="eastAsia" w:ascii="宋体" w:hAnsi="宋体" w:cs="宋体"/>
                <w:szCs w:val="21"/>
                <w:lang w:val="en-US" w:eastAsia="zh-CN"/>
              </w:rPr>
              <w:t>供应商</w:t>
            </w:r>
            <w:r>
              <w:rPr>
                <w:rFonts w:hint="eastAsia" w:ascii="宋体" w:hAnsi="宋体" w:eastAsia="宋体" w:cs="宋体"/>
                <w:szCs w:val="21"/>
              </w:rPr>
              <w:t>自接到采购人紧急抽检通知后，派遣有资质的员工前往现场，按规范取样并送达</w:t>
            </w:r>
            <w:r>
              <w:rPr>
                <w:rFonts w:hint="eastAsia" w:ascii="宋体" w:hAnsi="宋体" w:cs="宋体"/>
                <w:szCs w:val="21"/>
                <w:lang w:val="en-US" w:eastAsia="zh-CN"/>
              </w:rPr>
              <w:t>供应商</w:t>
            </w:r>
            <w:r>
              <w:rPr>
                <w:rFonts w:hint="eastAsia" w:ascii="宋体" w:hAnsi="宋体" w:eastAsia="宋体" w:cs="宋体"/>
                <w:szCs w:val="21"/>
              </w:rPr>
              <w:t>实验室，承诺其检测实验室到达常州</w:t>
            </w:r>
            <w:r>
              <w:rPr>
                <w:rFonts w:hint="eastAsia" w:ascii="宋体" w:hAnsi="宋体" w:cs="宋体"/>
                <w:szCs w:val="21"/>
                <w:lang w:val="en-US" w:eastAsia="zh-CN"/>
              </w:rPr>
              <w:t>经济开发区</w:t>
            </w:r>
            <w:r>
              <w:rPr>
                <w:rFonts w:hint="eastAsia" w:ascii="宋体" w:hAnsi="宋体" w:eastAsia="宋体" w:cs="宋体"/>
                <w:szCs w:val="21"/>
              </w:rPr>
              <w:t>市场监督管理局路程时间≤0.5小时的，得5分；0.5小时&lt;路程时间≤1小时的，得4分；1小时&lt;路程时间≤1.5小时的，得3分；1.5小时&lt;路程时间≤2小时的，得2分；2小时&lt;路程时间≤3小时的，得1分；其余不得分。</w:t>
            </w:r>
          </w:p>
        </w:tc>
        <w:tc>
          <w:tcPr>
            <w:tcW w:w="1267" w:type="pct"/>
            <w:noWrap w:val="0"/>
            <w:vAlign w:val="center"/>
          </w:tcPr>
          <w:p w14:paraId="1F5741A8">
            <w:pPr>
              <w:widowControl/>
              <w:rPr>
                <w:rFonts w:hint="eastAsia" w:ascii="宋体" w:hAnsi="宋体" w:cs="宋体"/>
                <w:bCs/>
                <w:szCs w:val="21"/>
              </w:rPr>
            </w:pPr>
            <w:r>
              <w:rPr>
                <w:rFonts w:hint="eastAsia" w:ascii="宋体" w:hAnsi="宋体" w:eastAsia="宋体" w:cs="宋体"/>
                <w:szCs w:val="21"/>
              </w:rPr>
              <w:t>以</w:t>
            </w:r>
            <w:r>
              <w:rPr>
                <w:rFonts w:hint="eastAsia" w:ascii="宋体" w:hAnsi="宋体" w:cs="宋体"/>
                <w:szCs w:val="21"/>
                <w:lang w:val="en-US" w:eastAsia="zh-CN"/>
              </w:rPr>
              <w:t>供应商</w:t>
            </w:r>
            <w:r>
              <w:rPr>
                <w:rFonts w:hint="eastAsia" w:ascii="宋体" w:hAnsi="宋体" w:eastAsia="宋体" w:cs="宋体"/>
                <w:szCs w:val="21"/>
              </w:rPr>
              <w:t>CMA证书或其资质认定食品检验能力附表的地址为依据，上传高德或百度等电子地图的截图加盖投标单位公章并提供承诺函（加盖投标单位公章），格式自拟。截图证明中须显示路径及时间，交通方式为汽车。</w:t>
            </w:r>
          </w:p>
        </w:tc>
      </w:tr>
      <w:tr w14:paraId="2BE4D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434" w:type="pct"/>
            <w:noWrap w:val="0"/>
            <w:vAlign w:val="center"/>
          </w:tcPr>
          <w:p w14:paraId="25372F23">
            <w:pPr>
              <w:jc w:val="center"/>
              <w:rPr>
                <w:rFonts w:ascii="宋体" w:hAnsi="宋体" w:cs="宋体"/>
                <w:bCs/>
                <w:szCs w:val="21"/>
              </w:rPr>
            </w:pPr>
            <w:r>
              <w:rPr>
                <w:rFonts w:hint="eastAsia" w:ascii="宋体" w:hAnsi="宋体" w:cs="宋体"/>
                <w:bCs/>
                <w:szCs w:val="21"/>
              </w:rPr>
              <w:t>3.3</w:t>
            </w:r>
          </w:p>
        </w:tc>
        <w:tc>
          <w:tcPr>
            <w:tcW w:w="759" w:type="pct"/>
            <w:noWrap w:val="0"/>
            <w:vAlign w:val="center"/>
          </w:tcPr>
          <w:p w14:paraId="2F385300">
            <w:pPr>
              <w:jc w:val="center"/>
              <w:rPr>
                <w:rFonts w:hint="eastAsia" w:ascii="宋体" w:hAnsi="宋体" w:cs="宋体"/>
                <w:bCs/>
                <w:szCs w:val="21"/>
                <w:highlight w:val="none"/>
              </w:rPr>
            </w:pPr>
            <w:r>
              <w:rPr>
                <w:rFonts w:hint="eastAsia" w:ascii="宋体" w:hAnsi="宋体" w:cs="宋体"/>
                <w:bCs/>
                <w:szCs w:val="21"/>
                <w:highlight w:val="none"/>
              </w:rPr>
              <w:t>技术专利</w:t>
            </w:r>
          </w:p>
        </w:tc>
        <w:tc>
          <w:tcPr>
            <w:tcW w:w="415" w:type="pct"/>
            <w:noWrap w:val="0"/>
            <w:vAlign w:val="center"/>
          </w:tcPr>
          <w:p w14:paraId="1DF22C5B">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3</w:t>
            </w:r>
          </w:p>
        </w:tc>
        <w:tc>
          <w:tcPr>
            <w:tcW w:w="2123" w:type="pct"/>
            <w:noWrap w:val="0"/>
            <w:vAlign w:val="center"/>
          </w:tcPr>
          <w:p w14:paraId="0A9AD28E">
            <w:pPr>
              <w:adjustRightInd w:val="0"/>
              <w:snapToGrid w:val="0"/>
              <w:jc w:val="left"/>
              <w:rPr>
                <w:rFonts w:hint="eastAsia"/>
                <w:highlight w:val="none"/>
              </w:rPr>
            </w:pPr>
            <w:r>
              <w:rPr>
                <w:rFonts w:hint="eastAsia"/>
                <w:highlight w:val="none"/>
              </w:rPr>
              <w:t>自20</w:t>
            </w:r>
            <w:r>
              <w:rPr>
                <w:highlight w:val="none"/>
              </w:rPr>
              <w:t>2</w:t>
            </w:r>
            <w:r>
              <w:rPr>
                <w:rFonts w:hint="eastAsia"/>
                <w:highlight w:val="none"/>
                <w:lang w:val="en-US" w:eastAsia="zh-CN"/>
              </w:rPr>
              <w:t>3</w:t>
            </w:r>
            <w:r>
              <w:rPr>
                <w:rFonts w:hint="eastAsia"/>
                <w:highlight w:val="none"/>
              </w:rPr>
              <w:t>年1月1日以来，供应商参与市级及以上食品安全科研课题的或参与过国家、行业、地方食品相关检查方法、标准制定的或具有食品检测技术专利的，每提供一份得</w:t>
            </w:r>
            <w:r>
              <w:rPr>
                <w:rFonts w:hint="eastAsia"/>
                <w:highlight w:val="none"/>
                <w:lang w:val="en-US" w:eastAsia="zh-CN"/>
              </w:rPr>
              <w:t>1</w:t>
            </w:r>
            <w:r>
              <w:rPr>
                <w:rFonts w:hint="eastAsia"/>
                <w:highlight w:val="none"/>
              </w:rPr>
              <w:t>分，最高得</w:t>
            </w:r>
            <w:r>
              <w:rPr>
                <w:rFonts w:hint="eastAsia"/>
                <w:highlight w:val="none"/>
                <w:lang w:val="en-US" w:eastAsia="zh-CN"/>
              </w:rPr>
              <w:t>3</w:t>
            </w:r>
            <w:r>
              <w:rPr>
                <w:rFonts w:hint="eastAsia"/>
                <w:highlight w:val="none"/>
              </w:rPr>
              <w:t>分。</w:t>
            </w:r>
          </w:p>
        </w:tc>
        <w:tc>
          <w:tcPr>
            <w:tcW w:w="1267" w:type="pct"/>
            <w:noWrap w:val="0"/>
            <w:vAlign w:val="center"/>
          </w:tcPr>
          <w:p w14:paraId="1A2CE8AE">
            <w:pPr>
              <w:rPr>
                <w:rFonts w:hint="eastAsia"/>
              </w:rPr>
            </w:pPr>
            <w:r>
              <w:rPr>
                <w:rFonts w:hint="eastAsia"/>
              </w:rPr>
              <w:t>提供相关证明材料</w:t>
            </w:r>
          </w:p>
        </w:tc>
      </w:tr>
      <w:tr w14:paraId="2379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434" w:type="pct"/>
            <w:noWrap w:val="0"/>
            <w:vAlign w:val="center"/>
          </w:tcPr>
          <w:p w14:paraId="74F6B84B">
            <w:pPr>
              <w:jc w:val="center"/>
              <w:rPr>
                <w:rFonts w:ascii="宋体" w:hAnsi="宋体" w:cs="宋体"/>
                <w:bCs/>
                <w:szCs w:val="21"/>
              </w:rPr>
            </w:pPr>
            <w:r>
              <w:rPr>
                <w:rFonts w:hint="eastAsia" w:ascii="宋体" w:hAnsi="宋体" w:cs="宋体"/>
                <w:bCs/>
                <w:szCs w:val="21"/>
              </w:rPr>
              <w:t>3.4</w:t>
            </w:r>
          </w:p>
        </w:tc>
        <w:tc>
          <w:tcPr>
            <w:tcW w:w="759" w:type="pct"/>
            <w:noWrap w:val="0"/>
            <w:vAlign w:val="center"/>
          </w:tcPr>
          <w:p w14:paraId="40940BD2">
            <w:pPr>
              <w:rPr>
                <w:rFonts w:hint="eastAsia" w:ascii="宋体" w:hAnsi="宋体" w:cs="宋体"/>
                <w:bCs/>
                <w:szCs w:val="21"/>
              </w:rPr>
            </w:pPr>
            <w:r>
              <w:rPr>
                <w:rFonts w:hint="eastAsia" w:ascii="宋体" w:hAnsi="宋体" w:cs="宋体"/>
                <w:bCs/>
                <w:szCs w:val="21"/>
              </w:rPr>
              <w:t>实验室能力验证情况</w:t>
            </w:r>
          </w:p>
        </w:tc>
        <w:tc>
          <w:tcPr>
            <w:tcW w:w="415" w:type="pct"/>
            <w:noWrap w:val="0"/>
            <w:vAlign w:val="center"/>
          </w:tcPr>
          <w:p w14:paraId="5ECB3773">
            <w:pPr>
              <w:jc w:val="center"/>
              <w:rPr>
                <w:rFonts w:hint="eastAsia" w:ascii="宋体" w:hAnsi="宋体" w:eastAsia="宋体" w:cs="宋体"/>
                <w:bCs/>
                <w:szCs w:val="21"/>
                <w:lang w:val="en-US" w:eastAsia="zh-CN"/>
              </w:rPr>
            </w:pPr>
            <w:r>
              <w:rPr>
                <w:rFonts w:hint="eastAsia" w:ascii="宋体" w:hAnsi="宋体" w:cs="宋体"/>
                <w:bCs/>
                <w:szCs w:val="21"/>
                <w:lang w:val="en-US" w:eastAsia="zh-CN"/>
              </w:rPr>
              <w:t>5</w:t>
            </w:r>
          </w:p>
        </w:tc>
        <w:tc>
          <w:tcPr>
            <w:tcW w:w="2123" w:type="pct"/>
            <w:noWrap w:val="0"/>
            <w:vAlign w:val="center"/>
          </w:tcPr>
          <w:p w14:paraId="29CEE76A">
            <w:pPr>
              <w:snapToGrid w:val="0"/>
              <w:jc w:val="left"/>
              <w:rPr>
                <w:rFonts w:hint="eastAsia"/>
              </w:rPr>
            </w:pPr>
            <w:r>
              <w:rPr>
                <w:rFonts w:hint="eastAsia"/>
              </w:rPr>
              <w:t>自20</w:t>
            </w:r>
            <w:r>
              <w:t>2</w:t>
            </w:r>
            <w:r>
              <w:rPr>
                <w:rFonts w:hint="eastAsia"/>
                <w:lang w:val="en-US" w:eastAsia="zh-CN"/>
              </w:rPr>
              <w:t>3</w:t>
            </w:r>
            <w:r>
              <w:rPr>
                <w:rFonts w:hint="eastAsia"/>
              </w:rPr>
              <w:t>年1月1日以来，供应商参与省级及以上实验室能力验证情况，对以下领域覆盖：农药、兽药、重金属、真菌毒素、食品添加剂、非法添加、微生物、转基因等，每参加一个领域且结果满意，得1分，本项最高得</w:t>
            </w:r>
            <w:r>
              <w:rPr>
                <w:rFonts w:hint="eastAsia"/>
                <w:lang w:val="en-US" w:eastAsia="zh-CN"/>
              </w:rPr>
              <w:t>5</w:t>
            </w:r>
            <w:r>
              <w:rPr>
                <w:rFonts w:hint="eastAsia"/>
              </w:rPr>
              <w:t>分。</w:t>
            </w:r>
          </w:p>
        </w:tc>
        <w:tc>
          <w:tcPr>
            <w:tcW w:w="1267" w:type="pct"/>
            <w:noWrap w:val="0"/>
            <w:vAlign w:val="center"/>
          </w:tcPr>
          <w:p w14:paraId="07AE9A66">
            <w:pPr>
              <w:rPr>
                <w:rFonts w:hint="eastAsia"/>
              </w:rPr>
            </w:pPr>
            <w:r>
              <w:t>提供</w:t>
            </w:r>
            <w:r>
              <w:rPr>
                <w:rFonts w:hint="eastAsia"/>
              </w:rPr>
              <w:t>能力验证证书或相关证明材料</w:t>
            </w:r>
          </w:p>
        </w:tc>
      </w:tr>
      <w:tr w14:paraId="0179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434" w:type="pct"/>
            <w:noWrap w:val="0"/>
            <w:vAlign w:val="center"/>
          </w:tcPr>
          <w:p w14:paraId="14A5098F">
            <w:pPr>
              <w:jc w:val="center"/>
              <w:rPr>
                <w:rFonts w:hint="eastAsia" w:ascii="宋体" w:hAnsi="宋体" w:cs="宋体"/>
                <w:bCs/>
                <w:szCs w:val="21"/>
              </w:rPr>
            </w:pPr>
            <w:r>
              <w:rPr>
                <w:rFonts w:hint="eastAsia" w:ascii="宋体" w:hAnsi="宋体" w:cs="宋体"/>
                <w:bCs/>
                <w:szCs w:val="21"/>
              </w:rPr>
              <w:t>3</w:t>
            </w:r>
            <w:r>
              <w:rPr>
                <w:rFonts w:ascii="宋体" w:hAnsi="宋体" w:cs="宋体"/>
                <w:bCs/>
                <w:szCs w:val="21"/>
              </w:rPr>
              <w:t>.5</w:t>
            </w:r>
          </w:p>
        </w:tc>
        <w:tc>
          <w:tcPr>
            <w:tcW w:w="759" w:type="pct"/>
            <w:noWrap w:val="0"/>
            <w:vAlign w:val="center"/>
          </w:tcPr>
          <w:p w14:paraId="20D0FA99">
            <w:pPr>
              <w:jc w:val="center"/>
              <w:rPr>
                <w:rFonts w:hint="eastAsia" w:ascii="宋体" w:hAnsi="宋体" w:cs="宋体"/>
                <w:bCs/>
                <w:szCs w:val="21"/>
                <w:highlight w:val="none"/>
              </w:rPr>
            </w:pPr>
            <w:r>
              <w:rPr>
                <w:rFonts w:hint="eastAsia" w:ascii="宋体" w:hAnsi="宋体" w:cs="宋体"/>
                <w:bCs/>
                <w:szCs w:val="21"/>
                <w:highlight w:val="none"/>
              </w:rPr>
              <w:t>企业实力</w:t>
            </w:r>
          </w:p>
        </w:tc>
        <w:tc>
          <w:tcPr>
            <w:tcW w:w="415" w:type="pct"/>
            <w:noWrap w:val="0"/>
            <w:vAlign w:val="center"/>
          </w:tcPr>
          <w:p w14:paraId="7910E0E6">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3</w:t>
            </w:r>
          </w:p>
        </w:tc>
        <w:tc>
          <w:tcPr>
            <w:tcW w:w="2123" w:type="pct"/>
            <w:noWrap w:val="0"/>
            <w:vAlign w:val="center"/>
          </w:tcPr>
          <w:p w14:paraId="5807E735">
            <w:pPr>
              <w:adjustRightInd w:val="0"/>
              <w:snapToGrid w:val="0"/>
              <w:jc w:val="left"/>
              <w:rPr>
                <w:rFonts w:hint="eastAsia"/>
                <w:highlight w:val="none"/>
              </w:rPr>
            </w:pPr>
            <w:r>
              <w:rPr>
                <w:rFonts w:hint="eastAsia"/>
                <w:highlight w:val="none"/>
              </w:rPr>
              <w:t>供应商通过CATL考核的，得</w:t>
            </w:r>
            <w:r>
              <w:rPr>
                <w:rFonts w:hint="eastAsia"/>
                <w:highlight w:val="none"/>
                <w:lang w:val="en-US" w:eastAsia="zh-CN"/>
              </w:rPr>
              <w:t>3</w:t>
            </w:r>
            <w:r>
              <w:rPr>
                <w:rFonts w:hint="eastAsia"/>
                <w:highlight w:val="none"/>
              </w:rPr>
              <w:t>分。</w:t>
            </w:r>
          </w:p>
        </w:tc>
        <w:tc>
          <w:tcPr>
            <w:tcW w:w="1267" w:type="pct"/>
            <w:noWrap w:val="0"/>
            <w:vAlign w:val="center"/>
          </w:tcPr>
          <w:p w14:paraId="5D04A366">
            <w:pPr>
              <w:adjustRightInd w:val="0"/>
              <w:snapToGrid w:val="0"/>
              <w:jc w:val="left"/>
            </w:pPr>
            <w:r>
              <w:rPr>
                <w:rFonts w:hint="eastAsia"/>
              </w:rPr>
              <w:t>提供相关证明材料</w:t>
            </w:r>
          </w:p>
        </w:tc>
      </w:tr>
      <w:tr w14:paraId="0E5F1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434" w:type="pct"/>
            <w:noWrap w:val="0"/>
            <w:vAlign w:val="center"/>
          </w:tcPr>
          <w:p w14:paraId="3E41F0DD">
            <w:pPr>
              <w:jc w:val="center"/>
              <w:rPr>
                <w:rFonts w:hint="eastAsia" w:ascii="宋体" w:hAnsi="宋体" w:cs="宋体"/>
                <w:bCs/>
                <w:szCs w:val="21"/>
              </w:rPr>
            </w:pPr>
            <w:r>
              <w:rPr>
                <w:rFonts w:hint="eastAsia" w:ascii="宋体" w:hAnsi="宋体" w:cs="宋体"/>
                <w:bCs/>
                <w:szCs w:val="21"/>
              </w:rPr>
              <w:t>3.</w:t>
            </w:r>
            <w:r>
              <w:rPr>
                <w:rFonts w:ascii="宋体" w:hAnsi="宋体" w:cs="宋体"/>
                <w:bCs/>
                <w:szCs w:val="21"/>
              </w:rPr>
              <w:t>6</w:t>
            </w:r>
          </w:p>
        </w:tc>
        <w:tc>
          <w:tcPr>
            <w:tcW w:w="759" w:type="pct"/>
            <w:noWrap w:val="0"/>
            <w:vAlign w:val="center"/>
          </w:tcPr>
          <w:p w14:paraId="5E94A435">
            <w:pPr>
              <w:jc w:val="center"/>
              <w:rPr>
                <w:rFonts w:hint="eastAsia" w:ascii="宋体" w:hAnsi="宋体" w:cs="宋体"/>
                <w:bCs/>
                <w:szCs w:val="21"/>
              </w:rPr>
            </w:pPr>
            <w:r>
              <w:rPr>
                <w:rFonts w:hint="eastAsia" w:ascii="宋体" w:hAnsi="宋体" w:cs="宋体"/>
                <w:bCs/>
                <w:szCs w:val="21"/>
              </w:rPr>
              <w:t>盲样考核</w:t>
            </w:r>
          </w:p>
        </w:tc>
        <w:tc>
          <w:tcPr>
            <w:tcW w:w="415" w:type="pct"/>
            <w:noWrap w:val="0"/>
            <w:vAlign w:val="center"/>
          </w:tcPr>
          <w:p w14:paraId="0E6AAA10">
            <w:pPr>
              <w:jc w:val="center"/>
              <w:rPr>
                <w:rFonts w:hint="eastAsia" w:ascii="宋体" w:hAnsi="宋体" w:cs="宋体"/>
                <w:bCs/>
                <w:szCs w:val="21"/>
              </w:rPr>
            </w:pPr>
            <w:r>
              <w:rPr>
                <w:rFonts w:ascii="宋体" w:hAnsi="宋体" w:cs="宋体"/>
                <w:bCs/>
                <w:szCs w:val="21"/>
              </w:rPr>
              <w:t>4</w:t>
            </w:r>
          </w:p>
        </w:tc>
        <w:tc>
          <w:tcPr>
            <w:tcW w:w="2123" w:type="pct"/>
            <w:noWrap w:val="0"/>
            <w:vAlign w:val="center"/>
          </w:tcPr>
          <w:p w14:paraId="46C5EF75">
            <w:pPr>
              <w:adjustRightInd w:val="0"/>
              <w:snapToGrid w:val="0"/>
              <w:jc w:val="left"/>
              <w:rPr>
                <w:rFonts w:hint="eastAsia"/>
              </w:rPr>
            </w:pPr>
            <w:r>
              <w:rPr>
                <w:rFonts w:hint="eastAsia"/>
              </w:rPr>
              <w:t>供应商通过省级及以上相关机构食品项目盲样考核情况，且全部满意的（含有不满意项及退出的均不得分），每有1项得2分，本项最高得4分。</w:t>
            </w:r>
          </w:p>
        </w:tc>
        <w:tc>
          <w:tcPr>
            <w:tcW w:w="1267" w:type="pct"/>
            <w:noWrap w:val="0"/>
            <w:vAlign w:val="center"/>
          </w:tcPr>
          <w:p w14:paraId="4952DAE8">
            <w:pPr>
              <w:adjustRightInd w:val="0"/>
              <w:jc w:val="left"/>
              <w:rPr>
                <w:rFonts w:hint="eastAsia"/>
              </w:rPr>
            </w:pPr>
            <w:r>
              <w:rPr>
                <w:rFonts w:hint="eastAsia"/>
              </w:rPr>
              <w:t>提供相关证明材料</w:t>
            </w:r>
          </w:p>
        </w:tc>
      </w:tr>
      <w:tr w14:paraId="4E4C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9" w:hRule="atLeast"/>
        </w:trPr>
        <w:tc>
          <w:tcPr>
            <w:tcW w:w="434" w:type="pct"/>
            <w:noWrap w:val="0"/>
            <w:vAlign w:val="center"/>
          </w:tcPr>
          <w:p w14:paraId="125D3D88">
            <w:pPr>
              <w:jc w:val="center"/>
              <w:rPr>
                <w:rFonts w:hint="eastAsia" w:ascii="宋体" w:hAnsi="宋体" w:cs="宋体"/>
                <w:bCs/>
                <w:szCs w:val="21"/>
              </w:rPr>
            </w:pPr>
            <w:r>
              <w:rPr>
                <w:rFonts w:hint="eastAsia" w:ascii="宋体" w:hAnsi="宋体" w:cs="宋体"/>
                <w:bCs/>
                <w:szCs w:val="21"/>
              </w:rPr>
              <w:t>3.</w:t>
            </w:r>
            <w:r>
              <w:rPr>
                <w:rFonts w:ascii="宋体" w:hAnsi="宋体" w:cs="宋体"/>
                <w:bCs/>
                <w:szCs w:val="21"/>
              </w:rPr>
              <w:t>7</w:t>
            </w:r>
          </w:p>
        </w:tc>
        <w:tc>
          <w:tcPr>
            <w:tcW w:w="759" w:type="pct"/>
            <w:noWrap w:val="0"/>
            <w:vAlign w:val="center"/>
          </w:tcPr>
          <w:p w14:paraId="5C0F9426">
            <w:pPr>
              <w:jc w:val="center"/>
              <w:rPr>
                <w:rFonts w:hint="eastAsia" w:ascii="宋体" w:hAnsi="宋体" w:cs="宋体"/>
                <w:bCs/>
                <w:szCs w:val="21"/>
              </w:rPr>
            </w:pPr>
            <w:r>
              <w:rPr>
                <w:rFonts w:hint="eastAsia" w:ascii="宋体" w:hAnsi="宋体" w:cs="宋体"/>
                <w:bCs/>
                <w:szCs w:val="21"/>
              </w:rPr>
              <w:t>人员配备</w:t>
            </w:r>
          </w:p>
        </w:tc>
        <w:tc>
          <w:tcPr>
            <w:tcW w:w="415" w:type="pct"/>
            <w:noWrap w:val="0"/>
            <w:vAlign w:val="center"/>
          </w:tcPr>
          <w:p w14:paraId="6866CCD2">
            <w:pPr>
              <w:jc w:val="center"/>
              <w:rPr>
                <w:rFonts w:hint="eastAsia" w:ascii="宋体" w:hAnsi="宋体" w:eastAsia="宋体" w:cs="宋体"/>
                <w:bCs/>
                <w:szCs w:val="21"/>
                <w:lang w:val="en-US" w:eastAsia="zh-CN"/>
              </w:rPr>
            </w:pPr>
            <w:r>
              <w:rPr>
                <w:rFonts w:hint="eastAsia" w:ascii="宋体" w:hAnsi="宋体" w:cs="宋体"/>
                <w:bCs/>
                <w:szCs w:val="21"/>
                <w:lang w:val="en-US" w:eastAsia="zh-CN"/>
              </w:rPr>
              <w:t>8</w:t>
            </w:r>
          </w:p>
        </w:tc>
        <w:tc>
          <w:tcPr>
            <w:tcW w:w="2123" w:type="pct"/>
            <w:noWrap w:val="0"/>
            <w:vAlign w:val="center"/>
          </w:tcPr>
          <w:p w14:paraId="1E96AA16">
            <w:pPr>
              <w:snapToGrid w:val="0"/>
              <w:jc w:val="left"/>
              <w:rPr>
                <w:rFonts w:ascii="宋体" w:hAnsi="宋体" w:cs="宋体"/>
                <w:bCs/>
                <w:szCs w:val="21"/>
              </w:rPr>
            </w:pPr>
            <w:r>
              <w:rPr>
                <w:rFonts w:hint="eastAsia" w:ascii="宋体" w:hAnsi="宋体" w:cs="宋体"/>
                <w:bCs/>
                <w:szCs w:val="21"/>
              </w:rPr>
              <w:t>供应商为本项目配备的与食品安全监督抽检和风险监测工作相匹配的专职抽样人员和检验人员，抽样人员和检验人员不能重复申报，且抽样人员和检验人员必须为供应商在职正式员工。</w:t>
            </w:r>
            <w:r>
              <w:rPr>
                <w:rFonts w:ascii="宋体" w:hAnsi="宋体" w:cs="宋体"/>
                <w:bCs/>
                <w:szCs w:val="21"/>
              </w:rPr>
              <w:t xml:space="preserve"> </w:t>
            </w:r>
          </w:p>
          <w:p w14:paraId="0131ACFA">
            <w:pPr>
              <w:widowControl/>
              <w:tabs>
                <w:tab w:val="left" w:pos="312"/>
              </w:tabs>
              <w:snapToGrid w:val="0"/>
              <w:jc w:val="left"/>
              <w:rPr>
                <w:rFonts w:ascii="宋体" w:hAnsi="宋体" w:cs="宋体"/>
                <w:szCs w:val="21"/>
              </w:rPr>
            </w:pPr>
            <w:r>
              <w:rPr>
                <w:rFonts w:hint="eastAsia" w:ascii="宋体" w:hAnsi="宋体" w:cs="宋体"/>
                <w:szCs w:val="21"/>
              </w:rPr>
              <w:t>（1）供应商为本项目配备的专职抽样人员数量在</w:t>
            </w:r>
            <w:r>
              <w:rPr>
                <w:rFonts w:hint="eastAsia" w:ascii="宋体" w:hAnsi="宋体" w:cs="宋体"/>
                <w:szCs w:val="21"/>
                <w:lang w:val="en-US" w:eastAsia="zh-CN"/>
              </w:rPr>
              <w:t>4</w:t>
            </w:r>
            <w:r>
              <w:rPr>
                <w:rFonts w:hint="eastAsia" w:ascii="宋体" w:hAnsi="宋体" w:cs="宋体"/>
                <w:szCs w:val="21"/>
              </w:rPr>
              <w:t>人的基础上每增加1人得0.5分,最高得</w:t>
            </w:r>
            <w:r>
              <w:rPr>
                <w:rFonts w:hint="eastAsia" w:ascii="宋体" w:hAnsi="宋体" w:cs="宋体"/>
                <w:szCs w:val="21"/>
                <w:lang w:val="en-US" w:eastAsia="zh-CN"/>
              </w:rPr>
              <w:t>3</w:t>
            </w:r>
            <w:r>
              <w:rPr>
                <w:rFonts w:hint="eastAsia" w:ascii="宋体" w:hAnsi="宋体" w:cs="宋体"/>
                <w:szCs w:val="21"/>
              </w:rPr>
              <w:t>分；</w:t>
            </w:r>
          </w:p>
          <w:p w14:paraId="705EC6DB">
            <w:pPr>
              <w:widowControl/>
              <w:tabs>
                <w:tab w:val="left" w:pos="312"/>
              </w:tabs>
              <w:snapToGrid w:val="0"/>
              <w:jc w:val="left"/>
              <w:rPr>
                <w:rFonts w:hint="eastAsia" w:ascii="宋体" w:hAnsi="宋体" w:cs="宋体"/>
                <w:szCs w:val="21"/>
              </w:rPr>
            </w:pPr>
            <w:r>
              <w:rPr>
                <w:rFonts w:hint="eastAsia" w:ascii="宋体" w:hAnsi="宋体" w:cs="宋体"/>
                <w:szCs w:val="21"/>
              </w:rPr>
              <w:t>（2）供应商为本项目配备的检验人员数量在</w:t>
            </w:r>
            <w:r>
              <w:rPr>
                <w:rFonts w:hint="eastAsia" w:ascii="宋体" w:hAnsi="宋体" w:cs="宋体"/>
                <w:szCs w:val="21"/>
                <w:lang w:val="en-US" w:eastAsia="zh-CN"/>
              </w:rPr>
              <w:t>15</w:t>
            </w:r>
            <w:r>
              <w:rPr>
                <w:rFonts w:hint="eastAsia" w:ascii="宋体" w:hAnsi="宋体" w:cs="宋体"/>
                <w:szCs w:val="21"/>
              </w:rPr>
              <w:t>人的基础上每增加1人得0.5分,最高得</w:t>
            </w:r>
            <w:r>
              <w:rPr>
                <w:rFonts w:hint="eastAsia" w:ascii="宋体" w:hAnsi="宋体" w:cs="宋体"/>
                <w:szCs w:val="21"/>
                <w:lang w:val="en-US" w:eastAsia="zh-CN"/>
              </w:rPr>
              <w:t>5</w:t>
            </w:r>
            <w:r>
              <w:rPr>
                <w:rFonts w:hint="eastAsia" w:ascii="宋体" w:hAnsi="宋体" w:cs="宋体"/>
                <w:szCs w:val="21"/>
              </w:rPr>
              <w:t>分。</w:t>
            </w:r>
          </w:p>
        </w:tc>
        <w:tc>
          <w:tcPr>
            <w:tcW w:w="1267" w:type="pct"/>
            <w:noWrap w:val="0"/>
            <w:vAlign w:val="center"/>
          </w:tcPr>
          <w:p w14:paraId="239656E5">
            <w:pPr>
              <w:rPr>
                <w:rFonts w:hint="eastAsia" w:ascii="宋体" w:hAnsi="宋体" w:cs="宋体"/>
                <w:bCs/>
                <w:szCs w:val="21"/>
              </w:rPr>
            </w:pPr>
            <w:r>
              <w:rPr>
                <w:rFonts w:hint="eastAsia" w:ascii="宋体" w:hAnsi="宋体" w:cs="宋体"/>
                <w:bCs/>
                <w:szCs w:val="21"/>
              </w:rPr>
              <w:t>1.提供相应人员的上岗证明或者考试培训合格证书</w:t>
            </w:r>
          </w:p>
          <w:p w14:paraId="350BE88D">
            <w:pPr>
              <w:rPr>
                <w:rFonts w:hint="eastAsia" w:ascii="宋体" w:hAnsi="宋体" w:cs="宋体"/>
                <w:bCs/>
                <w:szCs w:val="21"/>
              </w:rPr>
            </w:pPr>
            <w:r>
              <w:rPr>
                <w:rFonts w:hint="eastAsia" w:ascii="宋体" w:hAnsi="宋体" w:cs="宋体"/>
                <w:bCs/>
                <w:szCs w:val="21"/>
              </w:rPr>
              <w:t>2.供应商与其签订的劳动合同（事业单位正式编制人员提供社保流水或者其他证明，劳务派遣人员提供劳务派遣公司与供应商签订的合同扫描件以及劳务派遣公司与派遣人员的劳动合同扫描件）</w:t>
            </w:r>
          </w:p>
          <w:p w14:paraId="6701F3E3">
            <w:pPr>
              <w:rPr>
                <w:rFonts w:ascii="宋体" w:hAnsi="宋体" w:cs="宋体"/>
                <w:bCs/>
                <w:szCs w:val="21"/>
              </w:rPr>
            </w:pPr>
            <w:r>
              <w:rPr>
                <w:rFonts w:hint="eastAsia" w:ascii="宋体" w:hAnsi="宋体" w:cs="宋体"/>
                <w:bCs/>
                <w:szCs w:val="21"/>
              </w:rPr>
              <w:t>3.供应商为其缴纳的202</w:t>
            </w:r>
            <w:r>
              <w:rPr>
                <w:rFonts w:hint="eastAsia" w:ascii="宋体" w:hAnsi="宋体" w:cs="宋体"/>
                <w:bCs/>
                <w:szCs w:val="21"/>
                <w:lang w:val="en-US" w:eastAsia="zh-CN"/>
              </w:rPr>
              <w:t>5</w:t>
            </w:r>
            <w:r>
              <w:rPr>
                <w:rFonts w:hint="eastAsia" w:ascii="宋体" w:hAnsi="宋体" w:cs="宋体"/>
                <w:bCs/>
                <w:szCs w:val="21"/>
              </w:rPr>
              <w:t>年</w:t>
            </w:r>
            <w:r>
              <w:rPr>
                <w:rFonts w:hint="eastAsia" w:ascii="宋体" w:hAnsi="宋体" w:cs="宋体"/>
                <w:bCs/>
                <w:szCs w:val="21"/>
                <w:lang w:val="en-US" w:eastAsia="zh-CN"/>
              </w:rPr>
              <w:t>11</w:t>
            </w:r>
            <w:r>
              <w:rPr>
                <w:rFonts w:hint="eastAsia" w:ascii="宋体" w:hAnsi="宋体" w:cs="宋体"/>
                <w:bCs/>
                <w:szCs w:val="21"/>
              </w:rPr>
              <w:t>月至202</w:t>
            </w:r>
            <w:r>
              <w:rPr>
                <w:rFonts w:hint="eastAsia" w:ascii="宋体" w:hAnsi="宋体" w:cs="宋体"/>
                <w:bCs/>
                <w:szCs w:val="21"/>
                <w:lang w:val="en-US" w:eastAsia="zh-CN"/>
              </w:rPr>
              <w:t>6</w:t>
            </w:r>
            <w:r>
              <w:rPr>
                <w:rFonts w:hint="eastAsia" w:ascii="宋体" w:hAnsi="宋体" w:cs="宋体"/>
                <w:bCs/>
                <w:szCs w:val="21"/>
              </w:rPr>
              <w:t>年</w:t>
            </w:r>
            <w:r>
              <w:rPr>
                <w:rFonts w:hint="eastAsia" w:ascii="宋体" w:hAnsi="宋体" w:cs="宋体"/>
                <w:bCs/>
                <w:szCs w:val="21"/>
                <w:lang w:val="en-US" w:eastAsia="zh-CN"/>
              </w:rPr>
              <w:t>1</w:t>
            </w:r>
            <w:r>
              <w:rPr>
                <w:rFonts w:hint="eastAsia" w:ascii="宋体" w:hAnsi="宋体" w:cs="宋体"/>
                <w:bCs/>
                <w:szCs w:val="21"/>
              </w:rPr>
              <w:t>月社会养老保险证明材料（社保主管部门出具）</w:t>
            </w:r>
          </w:p>
          <w:p w14:paraId="0E451A57">
            <w:pPr>
              <w:rPr>
                <w:rFonts w:hint="eastAsia" w:ascii="宋体" w:hAnsi="宋体" w:cs="宋体"/>
                <w:bCs/>
                <w:szCs w:val="21"/>
              </w:rPr>
            </w:pPr>
            <w:r>
              <w:rPr>
                <w:rFonts w:hint="eastAsia" w:ascii="宋体" w:hAnsi="宋体" w:cs="宋体"/>
                <w:bCs/>
                <w:szCs w:val="21"/>
              </w:rPr>
              <w:t>（劳务派遣人员提供劳务派遣公司为其缴纳的202</w:t>
            </w:r>
            <w:r>
              <w:rPr>
                <w:rFonts w:hint="eastAsia" w:ascii="宋体" w:hAnsi="宋体" w:cs="宋体"/>
                <w:bCs/>
                <w:szCs w:val="21"/>
                <w:lang w:val="en-US" w:eastAsia="zh-CN"/>
              </w:rPr>
              <w:t>5</w:t>
            </w:r>
            <w:r>
              <w:rPr>
                <w:rFonts w:hint="eastAsia" w:ascii="宋体" w:hAnsi="宋体" w:cs="宋体"/>
                <w:bCs/>
                <w:szCs w:val="21"/>
              </w:rPr>
              <w:t>年</w:t>
            </w:r>
            <w:r>
              <w:rPr>
                <w:rFonts w:hint="eastAsia" w:ascii="宋体" w:hAnsi="宋体" w:cs="宋体"/>
                <w:bCs/>
                <w:szCs w:val="21"/>
                <w:lang w:val="en-US" w:eastAsia="zh-CN"/>
              </w:rPr>
              <w:t>11</w:t>
            </w:r>
            <w:r>
              <w:rPr>
                <w:rFonts w:hint="eastAsia" w:ascii="宋体" w:hAnsi="宋体" w:cs="宋体"/>
                <w:bCs/>
                <w:szCs w:val="21"/>
              </w:rPr>
              <w:t>月至202</w:t>
            </w:r>
            <w:r>
              <w:rPr>
                <w:rFonts w:hint="eastAsia" w:ascii="宋体" w:hAnsi="宋体" w:cs="宋体"/>
                <w:bCs/>
                <w:szCs w:val="21"/>
                <w:lang w:val="en-US" w:eastAsia="zh-CN"/>
              </w:rPr>
              <w:t>6</w:t>
            </w:r>
            <w:r>
              <w:rPr>
                <w:rFonts w:hint="eastAsia" w:ascii="宋体" w:hAnsi="宋体" w:cs="宋体"/>
                <w:bCs/>
                <w:szCs w:val="21"/>
              </w:rPr>
              <w:t>年</w:t>
            </w:r>
            <w:r>
              <w:rPr>
                <w:rFonts w:hint="eastAsia" w:ascii="宋体" w:hAnsi="宋体" w:cs="宋体"/>
                <w:bCs/>
                <w:szCs w:val="21"/>
                <w:lang w:val="en-US" w:eastAsia="zh-CN"/>
              </w:rPr>
              <w:t>1</w:t>
            </w:r>
            <w:r>
              <w:rPr>
                <w:rFonts w:hint="eastAsia" w:ascii="宋体" w:hAnsi="宋体" w:cs="宋体"/>
                <w:bCs/>
                <w:szCs w:val="21"/>
              </w:rPr>
              <w:t>月社会养老保险证明材料（社保主管部门出具））</w:t>
            </w:r>
          </w:p>
        </w:tc>
      </w:tr>
      <w:tr w14:paraId="2CCB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434" w:type="pct"/>
            <w:noWrap w:val="0"/>
            <w:vAlign w:val="center"/>
          </w:tcPr>
          <w:p w14:paraId="11780C89">
            <w:pPr>
              <w:ind w:firstLine="28"/>
              <w:jc w:val="center"/>
              <w:rPr>
                <w:rFonts w:ascii="宋体" w:hAnsi="宋体" w:cs="宋体"/>
                <w:szCs w:val="21"/>
              </w:rPr>
            </w:pPr>
            <w:r>
              <w:rPr>
                <w:rFonts w:hint="eastAsia" w:ascii="宋体" w:hAnsi="宋体" w:cs="宋体"/>
                <w:szCs w:val="21"/>
              </w:rPr>
              <w:t>3.</w:t>
            </w:r>
            <w:r>
              <w:rPr>
                <w:rFonts w:ascii="宋体" w:hAnsi="宋体" w:cs="宋体"/>
                <w:szCs w:val="21"/>
              </w:rPr>
              <w:t>8</w:t>
            </w:r>
          </w:p>
        </w:tc>
        <w:tc>
          <w:tcPr>
            <w:tcW w:w="759" w:type="pct"/>
            <w:noWrap w:val="0"/>
            <w:vAlign w:val="center"/>
          </w:tcPr>
          <w:p w14:paraId="4177C503">
            <w:pPr>
              <w:ind w:firstLine="28"/>
              <w:jc w:val="center"/>
              <w:rPr>
                <w:rFonts w:hint="eastAsia" w:ascii="宋体" w:hAnsi="宋体" w:cs="宋体"/>
                <w:szCs w:val="21"/>
                <w:highlight w:val="none"/>
              </w:rPr>
            </w:pPr>
            <w:r>
              <w:rPr>
                <w:rFonts w:hint="eastAsia" w:ascii="宋体" w:hAnsi="宋体" w:cs="宋体"/>
                <w:bCs/>
                <w:szCs w:val="21"/>
                <w:highlight w:val="none"/>
              </w:rPr>
              <w:t>检测实验室</w:t>
            </w:r>
          </w:p>
        </w:tc>
        <w:tc>
          <w:tcPr>
            <w:tcW w:w="415" w:type="pct"/>
            <w:noWrap w:val="0"/>
            <w:vAlign w:val="center"/>
          </w:tcPr>
          <w:p w14:paraId="129E4CC5">
            <w:pPr>
              <w:ind w:firstLine="28"/>
              <w:jc w:val="center"/>
              <w:rPr>
                <w:rFonts w:hint="default" w:eastAsia="宋体"/>
                <w:szCs w:val="21"/>
                <w:highlight w:val="none"/>
                <w:lang w:val="en-US" w:eastAsia="zh-CN"/>
              </w:rPr>
            </w:pPr>
            <w:r>
              <w:rPr>
                <w:rFonts w:hint="eastAsia"/>
                <w:szCs w:val="21"/>
                <w:highlight w:val="none"/>
                <w:lang w:val="en-US" w:eastAsia="zh-CN"/>
              </w:rPr>
              <w:t>3</w:t>
            </w:r>
          </w:p>
        </w:tc>
        <w:tc>
          <w:tcPr>
            <w:tcW w:w="2123" w:type="pct"/>
            <w:noWrap w:val="0"/>
            <w:vAlign w:val="center"/>
          </w:tcPr>
          <w:p w14:paraId="5EAF2F80">
            <w:pPr>
              <w:pStyle w:val="337"/>
              <w:rPr>
                <w:rFonts w:hint="eastAsia" w:ascii="宋体" w:hAnsi="宋体" w:cs="宋体"/>
                <w:bCs/>
                <w:color w:val="auto"/>
                <w:sz w:val="21"/>
                <w:szCs w:val="21"/>
                <w:highlight w:val="none"/>
              </w:rPr>
            </w:pPr>
            <w:r>
              <w:rPr>
                <w:rFonts w:hint="eastAsia" w:ascii="宋体" w:hAnsi="宋体" w:cs="宋体"/>
                <w:bCs/>
                <w:color w:val="auto"/>
                <w:sz w:val="21"/>
                <w:szCs w:val="21"/>
                <w:highlight w:val="none"/>
              </w:rPr>
              <w:t>供应商具有格局合理的微生物检验区和理化检验区得</w:t>
            </w: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rPr>
              <w:t>分。</w:t>
            </w:r>
          </w:p>
        </w:tc>
        <w:tc>
          <w:tcPr>
            <w:tcW w:w="1267" w:type="pct"/>
            <w:noWrap w:val="0"/>
            <w:vAlign w:val="center"/>
          </w:tcPr>
          <w:p w14:paraId="3FCA1005">
            <w:pPr>
              <w:ind w:left="-38"/>
              <w:rPr>
                <w:rFonts w:hint="eastAsia" w:ascii="宋体" w:hAnsi="宋体" w:cs="宋体"/>
                <w:bCs/>
                <w:kern w:val="0"/>
                <w:szCs w:val="21"/>
              </w:rPr>
            </w:pPr>
            <w:r>
              <w:rPr>
                <w:rFonts w:hint="eastAsia" w:ascii="宋体" w:hAnsi="宋体" w:cs="宋体"/>
                <w:bCs/>
                <w:kern w:val="0"/>
                <w:szCs w:val="21"/>
              </w:rPr>
              <w:t>提供实验室平面布局图、产权证或房产证或房屋租赁协议</w:t>
            </w:r>
          </w:p>
        </w:tc>
      </w:tr>
      <w:tr w14:paraId="38D9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noWrap w:val="0"/>
            <w:vAlign w:val="center"/>
          </w:tcPr>
          <w:p w14:paraId="1D169CC5">
            <w:pPr>
              <w:ind w:firstLine="28"/>
              <w:jc w:val="center"/>
              <w:rPr>
                <w:rFonts w:ascii="宋体" w:hAnsi="宋体" w:cs="宋体"/>
                <w:szCs w:val="21"/>
              </w:rPr>
            </w:pPr>
            <w:r>
              <w:rPr>
                <w:rFonts w:hint="eastAsia" w:ascii="宋体" w:hAnsi="宋体" w:cs="宋体"/>
                <w:bCs/>
                <w:szCs w:val="21"/>
              </w:rPr>
              <w:t>3.9</w:t>
            </w:r>
          </w:p>
        </w:tc>
        <w:tc>
          <w:tcPr>
            <w:tcW w:w="759" w:type="pct"/>
            <w:noWrap w:val="0"/>
            <w:vAlign w:val="center"/>
          </w:tcPr>
          <w:p w14:paraId="09FBBF92">
            <w:pPr>
              <w:snapToGrid w:val="0"/>
              <w:jc w:val="center"/>
              <w:rPr>
                <w:rFonts w:hint="eastAsia" w:ascii="宋体" w:hAnsi="宋体" w:cs="宋体"/>
                <w:szCs w:val="21"/>
              </w:rPr>
            </w:pPr>
            <w:r>
              <w:rPr>
                <w:rFonts w:hint="eastAsia" w:ascii="宋体" w:hAnsi="宋体" w:cs="宋体"/>
                <w:kern w:val="0"/>
                <w:szCs w:val="21"/>
              </w:rPr>
              <w:t>设施及仪器设备</w:t>
            </w:r>
          </w:p>
        </w:tc>
        <w:tc>
          <w:tcPr>
            <w:tcW w:w="415" w:type="pct"/>
            <w:noWrap w:val="0"/>
            <w:vAlign w:val="center"/>
          </w:tcPr>
          <w:p w14:paraId="02851CEB">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5</w:t>
            </w:r>
          </w:p>
        </w:tc>
        <w:tc>
          <w:tcPr>
            <w:tcW w:w="2123" w:type="pct"/>
            <w:noWrap w:val="0"/>
            <w:vAlign w:val="center"/>
          </w:tcPr>
          <w:p w14:paraId="1EC4AA62">
            <w:pPr>
              <w:snapToGrid w:val="0"/>
              <w:jc w:val="left"/>
              <w:rPr>
                <w:rFonts w:hint="eastAsia" w:ascii="宋体" w:hAnsi="宋体" w:cs="宋体"/>
                <w:bCs/>
                <w:kern w:val="0"/>
                <w:szCs w:val="21"/>
              </w:rPr>
            </w:pPr>
            <w:r>
              <w:rPr>
                <w:rFonts w:hint="eastAsia" w:ascii="宋体" w:hAnsi="宋体" w:cs="宋体"/>
                <w:bCs/>
                <w:kern w:val="0"/>
                <w:szCs w:val="21"/>
              </w:rPr>
              <w:t>供应商具有满足食品安全检测的设施及仪器设备。液相色谱-质谱联用仪、液相色谱仪、气相色谱仪、</w:t>
            </w:r>
            <w:r>
              <w:rPr>
                <w:rFonts w:ascii="宋体" w:hAnsi="宋体" w:cs="宋体"/>
                <w:bCs/>
                <w:kern w:val="0"/>
                <w:szCs w:val="21"/>
              </w:rPr>
              <w:t>电感耦合等离子体质谱仪（ICP-MS）</w:t>
            </w:r>
            <w:r>
              <w:rPr>
                <w:rFonts w:hint="eastAsia" w:ascii="宋体" w:hAnsi="宋体" w:cs="宋体"/>
                <w:bCs/>
                <w:kern w:val="0"/>
                <w:szCs w:val="21"/>
              </w:rPr>
              <w:t>、气相色谱串联质谱仪等。以上仪器，每有一个得1分，最高得</w:t>
            </w:r>
            <w:r>
              <w:rPr>
                <w:rFonts w:hint="eastAsia" w:ascii="宋体" w:hAnsi="宋体" w:cs="宋体"/>
                <w:bCs/>
                <w:kern w:val="0"/>
                <w:szCs w:val="21"/>
                <w:lang w:val="en-US" w:eastAsia="zh-CN"/>
              </w:rPr>
              <w:t>5</w:t>
            </w:r>
            <w:r>
              <w:rPr>
                <w:rFonts w:hint="eastAsia" w:ascii="宋体" w:hAnsi="宋体" w:cs="宋体"/>
                <w:bCs/>
                <w:kern w:val="0"/>
                <w:szCs w:val="21"/>
              </w:rPr>
              <w:t>分。</w:t>
            </w:r>
          </w:p>
        </w:tc>
        <w:tc>
          <w:tcPr>
            <w:tcW w:w="1267" w:type="pct"/>
            <w:noWrap w:val="0"/>
            <w:vAlign w:val="center"/>
          </w:tcPr>
          <w:p w14:paraId="689C16B0">
            <w:pPr>
              <w:ind w:left="-38"/>
              <w:rPr>
                <w:rFonts w:hint="eastAsia" w:ascii="宋体" w:hAnsi="宋体" w:cs="宋体"/>
                <w:bCs/>
                <w:kern w:val="0"/>
                <w:szCs w:val="21"/>
              </w:rPr>
            </w:pPr>
            <w:r>
              <w:rPr>
                <w:rFonts w:hint="eastAsia" w:ascii="宋体" w:hAnsi="宋体" w:cs="宋体"/>
                <w:bCs/>
                <w:kern w:val="0"/>
                <w:szCs w:val="21"/>
              </w:rPr>
              <w:t>提供以上仪器设备清单、发票</w:t>
            </w:r>
          </w:p>
          <w:p w14:paraId="4C70ADD7">
            <w:pPr>
              <w:pStyle w:val="23"/>
              <w:rPr>
                <w:rFonts w:hint="eastAsia"/>
              </w:rPr>
            </w:pPr>
          </w:p>
        </w:tc>
      </w:tr>
      <w:tr w14:paraId="59FE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noWrap w:val="0"/>
            <w:vAlign w:val="center"/>
          </w:tcPr>
          <w:p w14:paraId="3FC0F6B7">
            <w:pPr>
              <w:ind w:firstLine="28"/>
              <w:jc w:val="center"/>
              <w:rPr>
                <w:rFonts w:ascii="宋体" w:hAnsi="宋体" w:cs="宋体"/>
                <w:bCs/>
                <w:szCs w:val="21"/>
              </w:rPr>
            </w:pPr>
            <w:r>
              <w:rPr>
                <w:rFonts w:hint="eastAsia" w:ascii="宋体" w:hAnsi="宋体" w:cs="宋体"/>
                <w:bCs/>
                <w:szCs w:val="21"/>
              </w:rPr>
              <w:t>3.10</w:t>
            </w:r>
          </w:p>
        </w:tc>
        <w:tc>
          <w:tcPr>
            <w:tcW w:w="759" w:type="pct"/>
            <w:noWrap w:val="0"/>
            <w:vAlign w:val="center"/>
          </w:tcPr>
          <w:p w14:paraId="15AEC576">
            <w:pPr>
              <w:ind w:firstLine="28" w:firstLineChars="0"/>
              <w:jc w:val="center"/>
              <w:rPr>
                <w:rFonts w:hint="eastAsia" w:ascii="宋体" w:hAnsi="宋体" w:cs="宋体"/>
                <w:szCs w:val="21"/>
                <w:highlight w:val="none"/>
              </w:rPr>
            </w:pPr>
            <w:r>
              <w:rPr>
                <w:rFonts w:hint="eastAsia" w:ascii="宋体" w:hAnsi="宋体" w:cs="宋体"/>
                <w:bCs/>
                <w:szCs w:val="21"/>
                <w:highlight w:val="none"/>
              </w:rPr>
              <w:t>专业抽样车辆</w:t>
            </w:r>
          </w:p>
        </w:tc>
        <w:tc>
          <w:tcPr>
            <w:tcW w:w="415" w:type="pct"/>
            <w:noWrap w:val="0"/>
            <w:vAlign w:val="center"/>
          </w:tcPr>
          <w:p w14:paraId="28A69696">
            <w:pPr>
              <w:ind w:firstLine="28" w:firstLineChars="0"/>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3</w:t>
            </w:r>
          </w:p>
        </w:tc>
        <w:tc>
          <w:tcPr>
            <w:tcW w:w="2123" w:type="pct"/>
            <w:noWrap w:val="0"/>
            <w:vAlign w:val="center"/>
          </w:tcPr>
          <w:p w14:paraId="3B88F29B">
            <w:pPr>
              <w:snapToGrid w:val="0"/>
              <w:jc w:val="left"/>
              <w:rPr>
                <w:rFonts w:hint="eastAsia" w:ascii="宋体" w:hAnsi="宋体" w:cs="宋体"/>
                <w:bCs/>
                <w:szCs w:val="21"/>
                <w:highlight w:val="none"/>
              </w:rPr>
            </w:pPr>
            <w:r>
              <w:rPr>
                <w:rFonts w:hint="eastAsia" w:ascii="宋体" w:hAnsi="宋体" w:cs="宋体"/>
                <w:bCs/>
                <w:szCs w:val="21"/>
                <w:highlight w:val="none"/>
              </w:rPr>
              <w:t>供应商具有满足食品安全监督抽检和风险监测工作要求的专业抽样车辆</w:t>
            </w:r>
            <w:r>
              <w:rPr>
                <w:rFonts w:hint="eastAsia" w:ascii="宋体" w:hAnsi="宋体" w:cs="宋体"/>
                <w:bCs/>
                <w:color w:val="auto"/>
                <w:szCs w:val="21"/>
                <w:highlight w:val="none"/>
              </w:rPr>
              <w:t>（至少包含</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辆冷藏冷链设备车）</w:t>
            </w:r>
            <w:r>
              <w:rPr>
                <w:rFonts w:hint="eastAsia" w:ascii="宋体" w:hAnsi="宋体" w:cs="宋体"/>
                <w:bCs/>
                <w:szCs w:val="21"/>
                <w:highlight w:val="none"/>
              </w:rPr>
              <w:t>，并能正常使用，每有一辆得0.5分，本项最高</w:t>
            </w:r>
            <w:r>
              <w:rPr>
                <w:rFonts w:hint="eastAsia" w:ascii="宋体" w:hAnsi="宋体" w:cs="宋体"/>
                <w:bCs/>
                <w:szCs w:val="21"/>
                <w:highlight w:val="none"/>
                <w:lang w:val="en-US" w:eastAsia="zh-CN"/>
              </w:rPr>
              <w:t>3</w:t>
            </w:r>
            <w:r>
              <w:rPr>
                <w:rFonts w:hint="eastAsia" w:ascii="宋体" w:hAnsi="宋体" w:cs="宋体"/>
                <w:bCs/>
                <w:szCs w:val="21"/>
                <w:highlight w:val="none"/>
              </w:rPr>
              <w:t>分。</w:t>
            </w:r>
          </w:p>
        </w:tc>
        <w:tc>
          <w:tcPr>
            <w:tcW w:w="1267" w:type="pct"/>
            <w:noWrap w:val="0"/>
            <w:vAlign w:val="center"/>
          </w:tcPr>
          <w:p w14:paraId="6B934901">
            <w:pPr>
              <w:ind w:left="-38" w:leftChars="0"/>
              <w:rPr>
                <w:rFonts w:hint="eastAsia" w:ascii="宋体" w:hAnsi="宋体" w:cs="宋体"/>
                <w:bCs/>
                <w:szCs w:val="21"/>
              </w:rPr>
            </w:pPr>
            <w:r>
              <w:rPr>
                <w:rFonts w:hint="eastAsia" w:ascii="宋体" w:hAnsi="宋体" w:cs="宋体"/>
                <w:bCs/>
                <w:szCs w:val="21"/>
                <w:highlight w:val="none"/>
              </w:rPr>
              <w:t>提供相应车辆行驶证、购买发票或车辆租赁合同</w:t>
            </w:r>
          </w:p>
        </w:tc>
      </w:tr>
      <w:tr w14:paraId="2B65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pct"/>
            <w:gridSpan w:val="2"/>
            <w:noWrap w:val="0"/>
            <w:vAlign w:val="center"/>
          </w:tcPr>
          <w:p w14:paraId="6BEE5722">
            <w:pPr>
              <w:ind w:firstLine="28"/>
              <w:jc w:val="center"/>
              <w:rPr>
                <w:rFonts w:hint="eastAsia" w:ascii="宋体" w:hAnsi="宋体" w:cs="宋体"/>
                <w:szCs w:val="21"/>
              </w:rPr>
            </w:pPr>
            <w:r>
              <w:rPr>
                <w:rFonts w:hint="eastAsia" w:ascii="宋体" w:hAnsi="宋体" w:cs="宋体"/>
                <w:szCs w:val="21"/>
              </w:rPr>
              <w:t>合计</w:t>
            </w:r>
          </w:p>
        </w:tc>
        <w:tc>
          <w:tcPr>
            <w:tcW w:w="415" w:type="pct"/>
            <w:noWrap w:val="0"/>
            <w:vAlign w:val="center"/>
          </w:tcPr>
          <w:p w14:paraId="1A3D5945">
            <w:pPr>
              <w:ind w:firstLine="28"/>
              <w:jc w:val="center"/>
              <w:rPr>
                <w:rFonts w:hint="eastAsia" w:ascii="宋体" w:hAnsi="宋体" w:cs="宋体"/>
                <w:szCs w:val="21"/>
              </w:rPr>
            </w:pPr>
            <w:r>
              <w:rPr>
                <w:rFonts w:hint="eastAsia" w:ascii="宋体" w:hAnsi="宋体" w:cs="宋体"/>
                <w:szCs w:val="21"/>
              </w:rPr>
              <w:t>100</w:t>
            </w:r>
          </w:p>
        </w:tc>
        <w:tc>
          <w:tcPr>
            <w:tcW w:w="3391" w:type="pct"/>
            <w:gridSpan w:val="2"/>
            <w:noWrap w:val="0"/>
            <w:vAlign w:val="center"/>
          </w:tcPr>
          <w:p w14:paraId="1DEE2E56">
            <w:pPr>
              <w:rPr>
                <w:rFonts w:hint="eastAsia" w:ascii="宋体" w:hAnsi="宋体" w:cs="宋体"/>
                <w:szCs w:val="21"/>
              </w:rPr>
            </w:pPr>
          </w:p>
        </w:tc>
      </w:tr>
    </w:tbl>
    <w:p w14:paraId="7FFD839F">
      <w:pPr>
        <w:widowControl/>
        <w:spacing w:line="360" w:lineRule="auto"/>
        <w:jc w:val="left"/>
        <w:rPr>
          <w:rFonts w:ascii="宋体" w:hAnsi="宋体"/>
          <w:b/>
          <w:sz w:val="36"/>
          <w:szCs w:val="36"/>
        </w:rPr>
      </w:pPr>
      <w:r>
        <w:rPr>
          <w:rFonts w:hint="eastAsia" w:ascii="宋体" w:hAnsi="宋体" w:cs="楷体"/>
          <w:sz w:val="24"/>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413"/>
      <w:r>
        <w:rPr>
          <w:rFonts w:ascii="宋体" w:hAnsi="宋体"/>
          <w:b/>
          <w:sz w:val="36"/>
          <w:szCs w:val="36"/>
        </w:rPr>
        <w:br w:type="page" w:clear="all"/>
      </w:r>
      <w:bookmarkEnd w:id="412"/>
      <w:bookmarkStart w:id="414" w:name="_Toc104818928"/>
      <w:bookmarkStart w:id="415" w:name="_Toc27176"/>
      <w:bookmarkStart w:id="416" w:name="_Hlk178246134"/>
      <w:r>
        <w:rPr>
          <w:rFonts w:hint="eastAsia" w:ascii="宋体" w:hAnsi="宋体"/>
          <w:b/>
          <w:sz w:val="36"/>
          <w:szCs w:val="36"/>
          <w:lang w:val="en-US" w:eastAsia="zh-CN"/>
        </w:rPr>
        <w:t xml:space="preserve">               </w:t>
      </w:r>
      <w:r>
        <w:rPr>
          <w:rFonts w:ascii="宋体" w:hAnsi="宋体"/>
          <w:b/>
          <w:sz w:val="36"/>
          <w:szCs w:val="36"/>
        </w:rPr>
        <w:t>第</w:t>
      </w:r>
      <w:r>
        <w:rPr>
          <w:rFonts w:hint="eastAsia" w:ascii="宋体" w:hAnsi="宋体"/>
          <w:b/>
          <w:sz w:val="36"/>
          <w:szCs w:val="36"/>
        </w:rPr>
        <w:t>五</w:t>
      </w:r>
      <w:r>
        <w:rPr>
          <w:rFonts w:ascii="宋体" w:hAnsi="宋体"/>
          <w:b/>
          <w:sz w:val="36"/>
          <w:szCs w:val="36"/>
        </w:rPr>
        <w:t xml:space="preserve">章   </w:t>
      </w:r>
      <w:bookmarkStart w:id="417" w:name="_Hlk153262114"/>
      <w:r>
        <w:rPr>
          <w:rFonts w:ascii="宋体" w:hAnsi="宋体"/>
          <w:b/>
          <w:sz w:val="36"/>
          <w:szCs w:val="36"/>
        </w:rPr>
        <w:t>采购需求</w:t>
      </w:r>
      <w:bookmarkEnd w:id="414"/>
      <w:bookmarkEnd w:id="415"/>
    </w:p>
    <w:bookmarkEnd w:id="416"/>
    <w:bookmarkEnd w:id="417"/>
    <w:p w14:paraId="49B326DF">
      <w:pPr>
        <w:spacing w:line="360" w:lineRule="auto"/>
        <w:ind w:firstLine="482" w:firstLineChars="200"/>
        <w:outlineLvl w:val="0"/>
        <w:rPr>
          <w:rFonts w:ascii="宋体" w:hAnsi="宋体" w:cs="宋体"/>
          <w:b/>
          <w:bCs/>
          <w:sz w:val="24"/>
        </w:rPr>
      </w:pPr>
      <w:bookmarkStart w:id="418" w:name="_Toc30578"/>
      <w:bookmarkStart w:id="419" w:name="_Hlk178246765"/>
      <w:r>
        <w:rPr>
          <w:rFonts w:hint="eastAsia" w:ascii="宋体" w:hAnsi="宋体" w:cs="宋体"/>
          <w:b/>
          <w:bCs/>
          <w:sz w:val="24"/>
        </w:rPr>
        <w:t>一、项目内容及要求</w:t>
      </w:r>
    </w:p>
    <w:p w14:paraId="34D789DC">
      <w:pPr>
        <w:spacing w:line="360" w:lineRule="auto"/>
        <w:ind w:firstLine="480" w:firstLineChars="200"/>
        <w:outlineLvl w:val="0"/>
        <w:rPr>
          <w:rFonts w:ascii="宋体" w:hAnsi="宋体" w:cs="宋体"/>
          <w:sz w:val="24"/>
        </w:rPr>
      </w:pPr>
      <w:bookmarkStart w:id="420" w:name="_Toc794"/>
      <w:r>
        <w:rPr>
          <w:rFonts w:hint="eastAsia" w:ascii="宋体" w:hAnsi="宋体" w:cs="宋体"/>
          <w:sz w:val="24"/>
        </w:rPr>
        <w:t>1.项目实施区域：常州市</w:t>
      </w:r>
      <w:bookmarkEnd w:id="420"/>
      <w:r>
        <w:rPr>
          <w:rFonts w:hint="eastAsia" w:ascii="宋体" w:hAnsi="宋体" w:cs="宋体"/>
          <w:sz w:val="24"/>
        </w:rPr>
        <w:t>经济开发区</w:t>
      </w:r>
    </w:p>
    <w:p w14:paraId="054A96D1">
      <w:pPr>
        <w:spacing w:line="360" w:lineRule="auto"/>
        <w:ind w:firstLine="480"/>
        <w:rPr>
          <w:rFonts w:hint="eastAsia" w:ascii="宋体" w:hAnsi="宋体"/>
          <w:sz w:val="24"/>
          <w:lang w:eastAsia="zh-CN"/>
        </w:rPr>
      </w:pPr>
      <w:r>
        <w:rPr>
          <w:rFonts w:hint="eastAsia"/>
          <w:sz w:val="24"/>
        </w:rPr>
        <w:t>2.项目内容：本</w:t>
      </w:r>
      <w:r>
        <w:rPr>
          <w:rFonts w:hint="eastAsia" w:ascii="宋体" w:hAnsi="宋体"/>
          <w:sz w:val="24"/>
          <w:lang w:eastAsia="zh-CN"/>
        </w:rPr>
        <w:t>项目服务内容包括2026年针对食品生产环节、食品流通环节、餐饮环节和食用农产品开展约2520批次抽检及对经开区食品生产经营环节开展</w:t>
      </w:r>
      <w:r>
        <w:rPr>
          <w:rFonts w:hint="eastAsia" w:ascii="宋体" w:hAnsi="宋体"/>
          <w:sz w:val="24"/>
          <w:lang w:val="en-US" w:eastAsia="zh-CN"/>
        </w:rPr>
        <w:t>约560批次</w:t>
      </w:r>
      <w:r>
        <w:rPr>
          <w:rFonts w:hint="eastAsia" w:ascii="宋体" w:hAnsi="宋体"/>
          <w:sz w:val="24"/>
          <w:lang w:eastAsia="zh-CN"/>
        </w:rPr>
        <w:t>风险评估、隐患排查、应急检测。</w:t>
      </w:r>
    </w:p>
    <w:p w14:paraId="44973B60">
      <w:pPr>
        <w:spacing w:line="360" w:lineRule="auto"/>
        <w:ind w:firstLine="480"/>
        <w:rPr>
          <w:rFonts w:hint="default" w:ascii="宋体" w:hAnsi="宋体"/>
          <w:sz w:val="24"/>
          <w:lang w:val="en-US" w:eastAsia="zh-CN"/>
        </w:rPr>
      </w:pPr>
      <w:r>
        <w:rPr>
          <w:rFonts w:hint="eastAsia" w:ascii="宋体" w:hAnsi="宋体"/>
          <w:sz w:val="24"/>
          <w:lang w:val="en-US" w:eastAsia="zh-CN"/>
        </w:rPr>
        <w:t>3.</w:t>
      </w:r>
    </w:p>
    <w:tbl>
      <w:tblPr>
        <w:tblStyle w:val="4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669"/>
        <w:gridCol w:w="1712"/>
        <w:gridCol w:w="4434"/>
      </w:tblGrid>
      <w:tr w14:paraId="2452F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 w:type="pct"/>
            <w:noWrap w:val="0"/>
            <w:vAlign w:val="center"/>
          </w:tcPr>
          <w:p w14:paraId="66552AFB">
            <w:pPr>
              <w:jc w:val="center"/>
              <w:rPr>
                <w:sz w:val="24"/>
              </w:rPr>
            </w:pPr>
            <w:r>
              <w:rPr>
                <w:sz w:val="24"/>
              </w:rPr>
              <w:t>包号</w:t>
            </w:r>
          </w:p>
        </w:tc>
        <w:tc>
          <w:tcPr>
            <w:tcW w:w="980" w:type="pct"/>
            <w:noWrap w:val="0"/>
            <w:vAlign w:val="center"/>
          </w:tcPr>
          <w:p w14:paraId="04820A09">
            <w:pPr>
              <w:jc w:val="center"/>
              <w:rPr>
                <w:rFonts w:hint="eastAsia"/>
                <w:sz w:val="24"/>
              </w:rPr>
            </w:pPr>
            <w:r>
              <w:rPr>
                <w:rFonts w:hint="eastAsia"/>
                <w:sz w:val="24"/>
              </w:rPr>
              <w:t>抽检批次</w:t>
            </w:r>
          </w:p>
          <w:p w14:paraId="1FD0B3B7">
            <w:pPr>
              <w:jc w:val="center"/>
              <w:rPr>
                <w:sz w:val="24"/>
              </w:rPr>
            </w:pPr>
            <w:r>
              <w:rPr>
                <w:rFonts w:hint="eastAsia"/>
                <w:sz w:val="24"/>
              </w:rPr>
              <w:t>（暂定数量）</w:t>
            </w:r>
          </w:p>
        </w:tc>
        <w:tc>
          <w:tcPr>
            <w:tcW w:w="1005" w:type="pct"/>
            <w:noWrap w:val="0"/>
            <w:vAlign w:val="center"/>
          </w:tcPr>
          <w:p w14:paraId="3E596BB0">
            <w:pPr>
              <w:jc w:val="center"/>
              <w:rPr>
                <w:sz w:val="24"/>
              </w:rPr>
            </w:pPr>
            <w:r>
              <w:rPr>
                <w:rFonts w:hint="eastAsia" w:ascii="宋体" w:hAnsi="宋体" w:eastAsia="宋体" w:cs="宋体"/>
                <w:bCs/>
                <w:color w:val="000000"/>
                <w:sz w:val="24"/>
                <w:szCs w:val="24"/>
                <w:highlight w:val="none"/>
              </w:rPr>
              <w:t>采购</w:t>
            </w:r>
            <w:r>
              <w:rPr>
                <w:rFonts w:hint="eastAsia" w:ascii="宋体" w:hAnsi="宋体" w:eastAsia="宋体" w:cs="宋体"/>
                <w:bCs/>
                <w:color w:val="000000"/>
                <w:sz w:val="24"/>
                <w:szCs w:val="24"/>
                <w:highlight w:val="none"/>
                <w:lang w:val="en-US" w:eastAsia="zh-CN"/>
              </w:rPr>
              <w:t>包</w:t>
            </w:r>
            <w:r>
              <w:rPr>
                <w:rFonts w:hint="eastAsia" w:ascii="宋体" w:hAnsi="宋体" w:eastAsia="宋体" w:cs="宋体"/>
                <w:bCs/>
                <w:color w:val="000000"/>
                <w:sz w:val="24"/>
                <w:szCs w:val="24"/>
                <w:highlight w:val="none"/>
              </w:rPr>
              <w:t>预算金额</w:t>
            </w:r>
            <w:r>
              <w:rPr>
                <w:sz w:val="24"/>
              </w:rPr>
              <w:t>（万元）</w:t>
            </w:r>
          </w:p>
        </w:tc>
        <w:tc>
          <w:tcPr>
            <w:tcW w:w="2603" w:type="pct"/>
            <w:noWrap w:val="0"/>
            <w:vAlign w:val="center"/>
          </w:tcPr>
          <w:p w14:paraId="5C38E22D">
            <w:pPr>
              <w:jc w:val="center"/>
              <w:rPr>
                <w:rFonts w:hint="eastAsia" w:eastAsia="宋体"/>
                <w:sz w:val="24"/>
                <w:lang w:eastAsia="zh-CN"/>
              </w:rPr>
            </w:pPr>
            <w:r>
              <w:rPr>
                <w:rFonts w:hint="eastAsia"/>
                <w:sz w:val="24"/>
                <w:lang w:val="en-US" w:eastAsia="zh-CN"/>
              </w:rPr>
              <w:t>备注</w:t>
            </w:r>
          </w:p>
        </w:tc>
      </w:tr>
      <w:tr w14:paraId="36F7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 w:type="pct"/>
            <w:noWrap w:val="0"/>
            <w:vAlign w:val="center"/>
          </w:tcPr>
          <w:p w14:paraId="3E00251C">
            <w:pPr>
              <w:jc w:val="center"/>
              <w:rPr>
                <w:sz w:val="24"/>
              </w:rPr>
            </w:pPr>
            <w:r>
              <w:rPr>
                <w:sz w:val="24"/>
              </w:rPr>
              <w:t>1</w:t>
            </w:r>
          </w:p>
        </w:tc>
        <w:tc>
          <w:tcPr>
            <w:tcW w:w="980" w:type="pct"/>
            <w:noWrap w:val="0"/>
            <w:vAlign w:val="center"/>
          </w:tcPr>
          <w:p w14:paraId="5DD8948F">
            <w:pPr>
              <w:jc w:val="center"/>
              <w:rPr>
                <w:sz w:val="24"/>
              </w:rPr>
            </w:pPr>
            <w:r>
              <w:rPr>
                <w:rFonts w:hint="eastAsia"/>
                <w:sz w:val="24"/>
                <w:lang w:val="en-US" w:eastAsia="zh-CN"/>
              </w:rPr>
              <w:t>100</w:t>
            </w:r>
            <w:r>
              <w:rPr>
                <w:rFonts w:hint="eastAsia"/>
                <w:sz w:val="24"/>
              </w:rPr>
              <w:t>批次</w:t>
            </w:r>
          </w:p>
        </w:tc>
        <w:tc>
          <w:tcPr>
            <w:tcW w:w="1005" w:type="pct"/>
            <w:noWrap w:val="0"/>
            <w:vAlign w:val="center"/>
          </w:tcPr>
          <w:p w14:paraId="727771BE">
            <w:pPr>
              <w:jc w:val="center"/>
              <w:rPr>
                <w:rFonts w:hint="default" w:eastAsia="宋体"/>
                <w:sz w:val="24"/>
                <w:lang w:val="en-US" w:eastAsia="zh-CN"/>
              </w:rPr>
            </w:pPr>
            <w:r>
              <w:rPr>
                <w:rFonts w:hint="eastAsia"/>
                <w:sz w:val="24"/>
                <w:lang w:val="en-US" w:eastAsia="zh-CN"/>
              </w:rPr>
              <w:t>8.6</w:t>
            </w:r>
          </w:p>
        </w:tc>
        <w:tc>
          <w:tcPr>
            <w:tcW w:w="2603" w:type="pct"/>
            <w:vMerge w:val="restart"/>
            <w:noWrap w:val="0"/>
            <w:vAlign w:val="center"/>
          </w:tcPr>
          <w:p w14:paraId="572AC6CA">
            <w:pPr>
              <w:jc w:val="left"/>
              <w:rPr>
                <w:rFonts w:hint="eastAsia"/>
                <w:sz w:val="24"/>
              </w:rPr>
            </w:pPr>
            <w:r>
              <w:rPr>
                <w:rFonts w:hint="eastAsia" w:ascii="宋体" w:hAnsi="宋体"/>
                <w:sz w:val="24"/>
                <w:lang w:val="en-US" w:eastAsia="zh-CN"/>
              </w:rPr>
              <w:t>最终结算金额不超过86</w:t>
            </w:r>
            <w:r>
              <w:rPr>
                <w:rFonts w:hint="eastAsia" w:ascii="宋体" w:hAnsi="宋体"/>
                <w:sz w:val="24"/>
                <w:lang w:eastAsia="zh-CN"/>
              </w:rPr>
              <w:t>0元/批次</w:t>
            </w:r>
          </w:p>
        </w:tc>
      </w:tr>
      <w:tr w14:paraId="02330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 w:type="pct"/>
            <w:noWrap w:val="0"/>
            <w:vAlign w:val="center"/>
          </w:tcPr>
          <w:p w14:paraId="1FAFDD66">
            <w:pPr>
              <w:jc w:val="center"/>
              <w:rPr>
                <w:sz w:val="24"/>
              </w:rPr>
            </w:pPr>
            <w:r>
              <w:rPr>
                <w:sz w:val="24"/>
              </w:rPr>
              <w:t>2</w:t>
            </w:r>
          </w:p>
        </w:tc>
        <w:tc>
          <w:tcPr>
            <w:tcW w:w="980" w:type="pct"/>
            <w:noWrap w:val="0"/>
            <w:vAlign w:val="center"/>
          </w:tcPr>
          <w:p w14:paraId="56643F37">
            <w:pPr>
              <w:jc w:val="center"/>
              <w:rPr>
                <w:rFonts w:hint="eastAsia"/>
                <w:sz w:val="24"/>
              </w:rPr>
            </w:pPr>
            <w:r>
              <w:rPr>
                <w:rFonts w:hint="eastAsia"/>
                <w:sz w:val="24"/>
                <w:lang w:val="en-US" w:eastAsia="zh-CN"/>
              </w:rPr>
              <w:t>400</w:t>
            </w:r>
            <w:r>
              <w:rPr>
                <w:rFonts w:hint="eastAsia"/>
                <w:sz w:val="24"/>
              </w:rPr>
              <w:t>批次</w:t>
            </w:r>
          </w:p>
        </w:tc>
        <w:tc>
          <w:tcPr>
            <w:tcW w:w="1005" w:type="pct"/>
            <w:noWrap w:val="0"/>
            <w:vAlign w:val="center"/>
          </w:tcPr>
          <w:p w14:paraId="21070C0E">
            <w:pPr>
              <w:jc w:val="center"/>
              <w:rPr>
                <w:rFonts w:hint="default" w:eastAsia="宋体"/>
                <w:sz w:val="24"/>
                <w:lang w:val="en-US" w:eastAsia="zh-CN"/>
              </w:rPr>
            </w:pPr>
            <w:r>
              <w:rPr>
                <w:rFonts w:hint="eastAsia"/>
                <w:sz w:val="24"/>
                <w:lang w:val="en-US" w:eastAsia="zh-CN"/>
              </w:rPr>
              <w:t>34.4</w:t>
            </w:r>
          </w:p>
        </w:tc>
        <w:tc>
          <w:tcPr>
            <w:tcW w:w="2603" w:type="pct"/>
            <w:vMerge w:val="continue"/>
            <w:noWrap w:val="0"/>
            <w:vAlign w:val="center"/>
          </w:tcPr>
          <w:p w14:paraId="3673EE5C">
            <w:pPr>
              <w:jc w:val="center"/>
              <w:rPr>
                <w:sz w:val="24"/>
              </w:rPr>
            </w:pPr>
          </w:p>
        </w:tc>
      </w:tr>
      <w:tr w14:paraId="1D56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 w:type="pct"/>
            <w:noWrap w:val="0"/>
            <w:vAlign w:val="center"/>
          </w:tcPr>
          <w:p w14:paraId="79137EDC">
            <w:pPr>
              <w:jc w:val="center"/>
              <w:rPr>
                <w:rFonts w:hint="eastAsia"/>
                <w:sz w:val="24"/>
              </w:rPr>
            </w:pPr>
            <w:r>
              <w:rPr>
                <w:sz w:val="24"/>
              </w:rPr>
              <w:t>3</w:t>
            </w:r>
          </w:p>
        </w:tc>
        <w:tc>
          <w:tcPr>
            <w:tcW w:w="980" w:type="pct"/>
            <w:noWrap w:val="0"/>
            <w:vAlign w:val="center"/>
          </w:tcPr>
          <w:p w14:paraId="5E6535BE">
            <w:pPr>
              <w:jc w:val="center"/>
              <w:rPr>
                <w:rFonts w:hint="eastAsia"/>
                <w:sz w:val="24"/>
              </w:rPr>
            </w:pPr>
            <w:r>
              <w:rPr>
                <w:rFonts w:hint="eastAsia"/>
                <w:sz w:val="24"/>
                <w:lang w:val="en-US" w:eastAsia="zh-CN"/>
              </w:rPr>
              <w:t>4</w:t>
            </w:r>
            <w:r>
              <w:rPr>
                <w:sz w:val="24"/>
              </w:rPr>
              <w:t>00</w:t>
            </w:r>
            <w:r>
              <w:rPr>
                <w:rFonts w:hint="eastAsia"/>
                <w:sz w:val="24"/>
              </w:rPr>
              <w:t>批次</w:t>
            </w:r>
          </w:p>
        </w:tc>
        <w:tc>
          <w:tcPr>
            <w:tcW w:w="1005" w:type="pct"/>
            <w:noWrap w:val="0"/>
            <w:vAlign w:val="center"/>
          </w:tcPr>
          <w:p w14:paraId="444AD4E6">
            <w:pPr>
              <w:jc w:val="center"/>
              <w:rPr>
                <w:sz w:val="24"/>
              </w:rPr>
            </w:pPr>
            <w:r>
              <w:rPr>
                <w:rFonts w:hint="eastAsia"/>
                <w:sz w:val="24"/>
                <w:lang w:val="en-US" w:eastAsia="zh-CN"/>
              </w:rPr>
              <w:t>34.4</w:t>
            </w:r>
          </w:p>
        </w:tc>
        <w:tc>
          <w:tcPr>
            <w:tcW w:w="2603" w:type="pct"/>
            <w:vMerge w:val="continue"/>
            <w:noWrap w:val="0"/>
            <w:vAlign w:val="center"/>
          </w:tcPr>
          <w:p w14:paraId="5A88D9EC">
            <w:pPr>
              <w:jc w:val="center"/>
              <w:rPr>
                <w:sz w:val="24"/>
              </w:rPr>
            </w:pPr>
          </w:p>
        </w:tc>
      </w:tr>
      <w:tr w14:paraId="0A4D6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 w:type="pct"/>
            <w:noWrap w:val="0"/>
            <w:vAlign w:val="center"/>
          </w:tcPr>
          <w:p w14:paraId="3D19D8D3">
            <w:pPr>
              <w:jc w:val="center"/>
              <w:rPr>
                <w:rFonts w:hint="eastAsia"/>
                <w:sz w:val="24"/>
              </w:rPr>
            </w:pPr>
            <w:r>
              <w:rPr>
                <w:sz w:val="24"/>
              </w:rPr>
              <w:t>4</w:t>
            </w:r>
          </w:p>
        </w:tc>
        <w:tc>
          <w:tcPr>
            <w:tcW w:w="980" w:type="pct"/>
            <w:noWrap w:val="0"/>
            <w:vAlign w:val="center"/>
          </w:tcPr>
          <w:p w14:paraId="7752FB5F">
            <w:pPr>
              <w:jc w:val="center"/>
              <w:rPr>
                <w:rFonts w:hint="eastAsia"/>
                <w:sz w:val="24"/>
              </w:rPr>
            </w:pPr>
            <w:r>
              <w:rPr>
                <w:sz w:val="24"/>
              </w:rPr>
              <w:t>380</w:t>
            </w:r>
            <w:r>
              <w:rPr>
                <w:rFonts w:hint="eastAsia"/>
                <w:sz w:val="24"/>
              </w:rPr>
              <w:t>批次</w:t>
            </w:r>
          </w:p>
        </w:tc>
        <w:tc>
          <w:tcPr>
            <w:tcW w:w="1005" w:type="pct"/>
            <w:noWrap w:val="0"/>
            <w:vAlign w:val="center"/>
          </w:tcPr>
          <w:p w14:paraId="34D40FE6">
            <w:pPr>
              <w:jc w:val="center"/>
              <w:rPr>
                <w:rFonts w:hint="default" w:eastAsia="宋体"/>
                <w:sz w:val="24"/>
                <w:lang w:val="en-US" w:eastAsia="zh-CN"/>
              </w:rPr>
            </w:pPr>
            <w:r>
              <w:rPr>
                <w:rFonts w:hint="eastAsia"/>
                <w:sz w:val="24"/>
                <w:lang w:val="en-US" w:eastAsia="zh-CN"/>
              </w:rPr>
              <w:t>32.68</w:t>
            </w:r>
          </w:p>
        </w:tc>
        <w:tc>
          <w:tcPr>
            <w:tcW w:w="2603" w:type="pct"/>
            <w:vMerge w:val="continue"/>
            <w:noWrap w:val="0"/>
            <w:vAlign w:val="center"/>
          </w:tcPr>
          <w:p w14:paraId="3344D719">
            <w:pPr>
              <w:jc w:val="center"/>
              <w:rPr>
                <w:sz w:val="24"/>
              </w:rPr>
            </w:pPr>
          </w:p>
        </w:tc>
      </w:tr>
      <w:tr w14:paraId="5592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 w:type="pct"/>
            <w:noWrap w:val="0"/>
            <w:vAlign w:val="center"/>
          </w:tcPr>
          <w:p w14:paraId="438231A1">
            <w:pPr>
              <w:jc w:val="center"/>
              <w:rPr>
                <w:rFonts w:hint="eastAsia"/>
                <w:sz w:val="24"/>
              </w:rPr>
            </w:pPr>
            <w:r>
              <w:rPr>
                <w:sz w:val="24"/>
              </w:rPr>
              <w:t>5</w:t>
            </w:r>
          </w:p>
        </w:tc>
        <w:tc>
          <w:tcPr>
            <w:tcW w:w="980" w:type="pct"/>
            <w:noWrap w:val="0"/>
            <w:vAlign w:val="center"/>
          </w:tcPr>
          <w:p w14:paraId="710F1A01">
            <w:pPr>
              <w:jc w:val="center"/>
              <w:rPr>
                <w:rFonts w:hint="eastAsia"/>
                <w:sz w:val="24"/>
              </w:rPr>
            </w:pPr>
            <w:r>
              <w:rPr>
                <w:sz w:val="24"/>
              </w:rPr>
              <w:t>3</w:t>
            </w:r>
            <w:r>
              <w:rPr>
                <w:rFonts w:hint="eastAsia"/>
                <w:sz w:val="24"/>
                <w:lang w:val="en-US" w:eastAsia="zh-CN"/>
              </w:rPr>
              <w:t>2</w:t>
            </w:r>
            <w:r>
              <w:rPr>
                <w:sz w:val="24"/>
              </w:rPr>
              <w:t>0</w:t>
            </w:r>
            <w:r>
              <w:rPr>
                <w:rFonts w:hint="eastAsia"/>
                <w:sz w:val="24"/>
              </w:rPr>
              <w:t>批次</w:t>
            </w:r>
          </w:p>
        </w:tc>
        <w:tc>
          <w:tcPr>
            <w:tcW w:w="1005" w:type="pct"/>
            <w:noWrap w:val="0"/>
            <w:vAlign w:val="center"/>
          </w:tcPr>
          <w:p w14:paraId="7DCA1A5D">
            <w:pPr>
              <w:jc w:val="center"/>
              <w:rPr>
                <w:rFonts w:hint="default" w:eastAsia="宋体"/>
                <w:sz w:val="24"/>
                <w:lang w:val="en-US" w:eastAsia="zh-CN"/>
              </w:rPr>
            </w:pPr>
            <w:r>
              <w:rPr>
                <w:rFonts w:hint="eastAsia"/>
                <w:sz w:val="24"/>
                <w:lang w:val="en-US" w:eastAsia="zh-CN"/>
              </w:rPr>
              <w:t>27.52</w:t>
            </w:r>
          </w:p>
        </w:tc>
        <w:tc>
          <w:tcPr>
            <w:tcW w:w="2603" w:type="pct"/>
            <w:vMerge w:val="continue"/>
            <w:noWrap w:val="0"/>
            <w:vAlign w:val="center"/>
          </w:tcPr>
          <w:p w14:paraId="589D9443">
            <w:pPr>
              <w:jc w:val="center"/>
              <w:rPr>
                <w:sz w:val="24"/>
              </w:rPr>
            </w:pPr>
          </w:p>
        </w:tc>
      </w:tr>
      <w:tr w14:paraId="14921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0" w:type="pct"/>
            <w:noWrap w:val="0"/>
            <w:vAlign w:val="center"/>
          </w:tcPr>
          <w:p w14:paraId="37BC6024">
            <w:pPr>
              <w:jc w:val="center"/>
              <w:rPr>
                <w:rFonts w:hint="eastAsia"/>
                <w:sz w:val="24"/>
              </w:rPr>
            </w:pPr>
            <w:r>
              <w:rPr>
                <w:sz w:val="24"/>
              </w:rPr>
              <w:t>6</w:t>
            </w:r>
          </w:p>
        </w:tc>
        <w:tc>
          <w:tcPr>
            <w:tcW w:w="980" w:type="pct"/>
            <w:noWrap w:val="0"/>
            <w:vAlign w:val="center"/>
          </w:tcPr>
          <w:p w14:paraId="5D77DC4B">
            <w:pPr>
              <w:jc w:val="center"/>
              <w:rPr>
                <w:rFonts w:hint="eastAsia"/>
                <w:sz w:val="24"/>
              </w:rPr>
            </w:pPr>
            <w:r>
              <w:rPr>
                <w:sz w:val="24"/>
              </w:rPr>
              <w:t>3</w:t>
            </w:r>
            <w:r>
              <w:rPr>
                <w:rFonts w:hint="eastAsia"/>
                <w:sz w:val="24"/>
                <w:lang w:val="en-US" w:eastAsia="zh-CN"/>
              </w:rPr>
              <w:t>2</w:t>
            </w:r>
            <w:r>
              <w:rPr>
                <w:sz w:val="24"/>
              </w:rPr>
              <w:t>0</w:t>
            </w:r>
            <w:r>
              <w:rPr>
                <w:rFonts w:hint="eastAsia"/>
                <w:sz w:val="24"/>
              </w:rPr>
              <w:t>批次</w:t>
            </w:r>
          </w:p>
        </w:tc>
        <w:tc>
          <w:tcPr>
            <w:tcW w:w="1005" w:type="pct"/>
            <w:noWrap w:val="0"/>
            <w:vAlign w:val="center"/>
          </w:tcPr>
          <w:p w14:paraId="53F63119">
            <w:pPr>
              <w:jc w:val="center"/>
              <w:rPr>
                <w:rFonts w:hint="default" w:eastAsia="宋体"/>
                <w:sz w:val="24"/>
                <w:lang w:val="en-US" w:eastAsia="zh-CN"/>
              </w:rPr>
            </w:pPr>
            <w:r>
              <w:rPr>
                <w:rFonts w:hint="eastAsia"/>
                <w:sz w:val="24"/>
                <w:lang w:val="en-US" w:eastAsia="zh-CN"/>
              </w:rPr>
              <w:t>27.52</w:t>
            </w:r>
          </w:p>
        </w:tc>
        <w:tc>
          <w:tcPr>
            <w:tcW w:w="2603" w:type="pct"/>
            <w:vMerge w:val="continue"/>
            <w:noWrap w:val="0"/>
            <w:vAlign w:val="center"/>
          </w:tcPr>
          <w:p w14:paraId="3719090C">
            <w:pPr>
              <w:jc w:val="center"/>
              <w:rPr>
                <w:sz w:val="24"/>
              </w:rPr>
            </w:pPr>
          </w:p>
        </w:tc>
      </w:tr>
      <w:tr w14:paraId="7A9B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10" w:type="pct"/>
            <w:noWrap w:val="0"/>
            <w:vAlign w:val="center"/>
          </w:tcPr>
          <w:p w14:paraId="348037FF">
            <w:pPr>
              <w:jc w:val="center"/>
              <w:rPr>
                <w:rFonts w:hint="eastAsia"/>
                <w:sz w:val="24"/>
              </w:rPr>
            </w:pPr>
            <w:r>
              <w:rPr>
                <w:sz w:val="24"/>
              </w:rPr>
              <w:t>7</w:t>
            </w:r>
          </w:p>
        </w:tc>
        <w:tc>
          <w:tcPr>
            <w:tcW w:w="980" w:type="pct"/>
            <w:noWrap w:val="0"/>
            <w:vAlign w:val="center"/>
          </w:tcPr>
          <w:p w14:paraId="4C75A6A0">
            <w:pPr>
              <w:jc w:val="center"/>
              <w:rPr>
                <w:rFonts w:hint="eastAsia"/>
                <w:sz w:val="24"/>
              </w:rPr>
            </w:pPr>
            <w:r>
              <w:rPr>
                <w:rFonts w:hint="eastAsia"/>
                <w:sz w:val="24"/>
                <w:lang w:val="en-US" w:eastAsia="zh-CN"/>
              </w:rPr>
              <w:t>300</w:t>
            </w:r>
            <w:r>
              <w:rPr>
                <w:rFonts w:hint="eastAsia"/>
                <w:sz w:val="24"/>
              </w:rPr>
              <w:t>批次</w:t>
            </w:r>
          </w:p>
        </w:tc>
        <w:tc>
          <w:tcPr>
            <w:tcW w:w="1005" w:type="pct"/>
            <w:noWrap w:val="0"/>
            <w:vAlign w:val="center"/>
          </w:tcPr>
          <w:p w14:paraId="0729B20B">
            <w:pPr>
              <w:jc w:val="center"/>
              <w:rPr>
                <w:rFonts w:hint="default" w:eastAsia="宋体"/>
                <w:sz w:val="24"/>
                <w:lang w:val="en-US" w:eastAsia="zh-CN"/>
              </w:rPr>
            </w:pPr>
            <w:r>
              <w:rPr>
                <w:rFonts w:hint="eastAsia"/>
                <w:sz w:val="24"/>
                <w:lang w:val="en-US" w:eastAsia="zh-CN"/>
              </w:rPr>
              <w:t>25.8</w:t>
            </w:r>
          </w:p>
        </w:tc>
        <w:tc>
          <w:tcPr>
            <w:tcW w:w="2603" w:type="pct"/>
            <w:vMerge w:val="continue"/>
            <w:noWrap w:val="0"/>
            <w:vAlign w:val="center"/>
          </w:tcPr>
          <w:p w14:paraId="0FC07F47">
            <w:pPr>
              <w:jc w:val="center"/>
              <w:rPr>
                <w:sz w:val="24"/>
              </w:rPr>
            </w:pPr>
          </w:p>
        </w:tc>
      </w:tr>
      <w:tr w14:paraId="63B6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10" w:type="pct"/>
            <w:noWrap w:val="0"/>
            <w:vAlign w:val="center"/>
          </w:tcPr>
          <w:p w14:paraId="26AC18FB">
            <w:pPr>
              <w:jc w:val="center"/>
              <w:rPr>
                <w:rFonts w:hint="eastAsia"/>
                <w:sz w:val="24"/>
              </w:rPr>
            </w:pPr>
            <w:r>
              <w:rPr>
                <w:sz w:val="24"/>
              </w:rPr>
              <w:t>8</w:t>
            </w:r>
          </w:p>
        </w:tc>
        <w:tc>
          <w:tcPr>
            <w:tcW w:w="980" w:type="pct"/>
            <w:noWrap w:val="0"/>
            <w:vAlign w:val="center"/>
          </w:tcPr>
          <w:p w14:paraId="7B468E76">
            <w:pPr>
              <w:jc w:val="center"/>
              <w:rPr>
                <w:sz w:val="24"/>
              </w:rPr>
            </w:pPr>
            <w:r>
              <w:rPr>
                <w:rFonts w:hint="eastAsia"/>
                <w:sz w:val="24"/>
                <w:lang w:val="en-US" w:eastAsia="zh-CN"/>
              </w:rPr>
              <w:t>300</w:t>
            </w:r>
            <w:r>
              <w:rPr>
                <w:rFonts w:hint="eastAsia"/>
                <w:sz w:val="24"/>
              </w:rPr>
              <w:t>批次</w:t>
            </w:r>
          </w:p>
        </w:tc>
        <w:tc>
          <w:tcPr>
            <w:tcW w:w="1005" w:type="pct"/>
            <w:noWrap w:val="0"/>
            <w:vAlign w:val="center"/>
          </w:tcPr>
          <w:p w14:paraId="2FFD6150">
            <w:pPr>
              <w:jc w:val="center"/>
              <w:rPr>
                <w:rFonts w:hint="default" w:eastAsia="宋体"/>
                <w:sz w:val="24"/>
                <w:lang w:val="en-US" w:eastAsia="zh-CN"/>
              </w:rPr>
            </w:pPr>
            <w:r>
              <w:rPr>
                <w:rFonts w:hint="eastAsia"/>
                <w:sz w:val="24"/>
                <w:lang w:val="en-US" w:eastAsia="zh-CN"/>
              </w:rPr>
              <w:t>25.8</w:t>
            </w:r>
          </w:p>
        </w:tc>
        <w:tc>
          <w:tcPr>
            <w:tcW w:w="2603" w:type="pct"/>
            <w:vMerge w:val="continue"/>
            <w:noWrap w:val="0"/>
            <w:vAlign w:val="center"/>
          </w:tcPr>
          <w:p w14:paraId="0F4C9CA1">
            <w:pPr>
              <w:jc w:val="center"/>
              <w:rPr>
                <w:sz w:val="24"/>
              </w:rPr>
            </w:pPr>
          </w:p>
        </w:tc>
      </w:tr>
      <w:tr w14:paraId="6148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0" w:type="pct"/>
            <w:noWrap w:val="0"/>
            <w:vAlign w:val="center"/>
          </w:tcPr>
          <w:p w14:paraId="24AF86E5">
            <w:pPr>
              <w:jc w:val="center"/>
              <w:rPr>
                <w:rFonts w:hint="eastAsia"/>
                <w:sz w:val="24"/>
              </w:rPr>
            </w:pPr>
            <w:r>
              <w:rPr>
                <w:sz w:val="24"/>
              </w:rPr>
              <w:t>9</w:t>
            </w:r>
          </w:p>
        </w:tc>
        <w:tc>
          <w:tcPr>
            <w:tcW w:w="980" w:type="pct"/>
            <w:noWrap w:val="0"/>
            <w:vAlign w:val="center"/>
          </w:tcPr>
          <w:p w14:paraId="50213C21">
            <w:pPr>
              <w:jc w:val="center"/>
              <w:rPr>
                <w:rFonts w:hint="eastAsia" w:eastAsia="宋体"/>
                <w:sz w:val="24"/>
                <w:lang w:eastAsia="zh-CN"/>
              </w:rPr>
            </w:pPr>
            <w:r>
              <w:rPr>
                <w:rFonts w:hint="eastAsia"/>
                <w:sz w:val="24"/>
                <w:lang w:val="en-US" w:eastAsia="zh-CN"/>
              </w:rPr>
              <w:t>560批次</w:t>
            </w:r>
          </w:p>
        </w:tc>
        <w:tc>
          <w:tcPr>
            <w:tcW w:w="1005" w:type="pct"/>
            <w:noWrap w:val="0"/>
            <w:vAlign w:val="center"/>
          </w:tcPr>
          <w:p w14:paraId="55AB7DAD">
            <w:pPr>
              <w:jc w:val="center"/>
              <w:rPr>
                <w:rFonts w:hint="default" w:eastAsia="宋体"/>
                <w:sz w:val="24"/>
                <w:lang w:val="en-US" w:eastAsia="zh-CN"/>
              </w:rPr>
            </w:pPr>
            <w:r>
              <w:rPr>
                <w:rFonts w:hint="eastAsia"/>
                <w:sz w:val="24"/>
                <w:lang w:val="en-US" w:eastAsia="zh-CN"/>
              </w:rPr>
              <w:t>48.16</w:t>
            </w:r>
          </w:p>
        </w:tc>
        <w:tc>
          <w:tcPr>
            <w:tcW w:w="2603" w:type="pct"/>
            <w:noWrap w:val="0"/>
            <w:vAlign w:val="center"/>
          </w:tcPr>
          <w:p w14:paraId="1FAC7537">
            <w:pPr>
              <w:jc w:val="left"/>
              <w:rPr>
                <w:rFonts w:hint="eastAsia" w:ascii="宋体" w:hAnsi="宋体"/>
                <w:sz w:val="24"/>
                <w:lang w:eastAsia="zh-CN"/>
              </w:rPr>
            </w:pPr>
            <w:r>
              <w:rPr>
                <w:rFonts w:hint="eastAsia" w:ascii="宋体" w:hAnsi="宋体"/>
                <w:sz w:val="24"/>
                <w:lang w:eastAsia="zh-CN"/>
              </w:rPr>
              <w:t>本</w:t>
            </w:r>
            <w:r>
              <w:rPr>
                <w:rFonts w:hint="eastAsia" w:ascii="宋体" w:hAnsi="宋体"/>
                <w:sz w:val="24"/>
                <w:lang w:val="en-US" w:eastAsia="zh-CN"/>
              </w:rPr>
              <w:t>采购包</w:t>
            </w:r>
            <w:r>
              <w:rPr>
                <w:rFonts w:hint="eastAsia" w:ascii="宋体" w:hAnsi="宋体"/>
                <w:sz w:val="24"/>
                <w:lang w:eastAsia="zh-CN"/>
              </w:rPr>
              <w:t>为常州经济开发区市场监督管理局2026年食品安全应急检测项目，任务时间为2026年，任务类型为应急监督抽检+专项检测。1.应急检测响应:食品安全突发事故/舆情事件专项检测，1小时内到达指定现场并启动采样检测；2.隐患排查配套检测:针对重点食品生产经营企业/商户，开展风险隐患靶向检测；3.风险评估数据支持:提供季度应急检测数据汇总分析；4.检测时效保障:常规应急检测项目24小时内出具初步结果，48小时内出具正式报告。</w:t>
            </w:r>
          </w:p>
          <w:p w14:paraId="67EBA195">
            <w:pPr>
              <w:jc w:val="left"/>
              <w:rPr>
                <w:sz w:val="24"/>
              </w:rPr>
            </w:pPr>
            <w:r>
              <w:rPr>
                <w:rFonts w:hint="eastAsia" w:ascii="宋体" w:hAnsi="宋体"/>
                <w:sz w:val="24"/>
                <w:lang w:val="en-US" w:eastAsia="zh-CN"/>
              </w:rPr>
              <w:t>最终结算金额不超过86</w:t>
            </w:r>
            <w:r>
              <w:rPr>
                <w:rFonts w:hint="eastAsia" w:ascii="宋体" w:hAnsi="宋体"/>
                <w:sz w:val="24"/>
                <w:lang w:eastAsia="zh-CN"/>
              </w:rPr>
              <w:t>0元/批次</w:t>
            </w:r>
          </w:p>
        </w:tc>
      </w:tr>
    </w:tbl>
    <w:p w14:paraId="63FE0A6B">
      <w:pPr>
        <w:spacing w:line="360" w:lineRule="auto"/>
        <w:ind w:firstLine="480" w:firstLineChars="200"/>
        <w:rPr>
          <w:rFonts w:hint="eastAsia" w:ascii="宋体" w:hAnsi="宋体" w:cs="宋体"/>
          <w:sz w:val="24"/>
        </w:rPr>
      </w:pPr>
      <w:r>
        <w:rPr>
          <w:rFonts w:hint="eastAsia" w:ascii="宋体" w:hAnsi="宋体" w:cs="宋体"/>
          <w:sz w:val="24"/>
        </w:rPr>
        <w:t>供应商可以响应其中任意一个或几个包。定标时按包号顺序（包1→包2→ …→包</w:t>
      </w:r>
      <w:r>
        <w:rPr>
          <w:rFonts w:ascii="宋体" w:hAnsi="宋体" w:cs="宋体"/>
          <w:sz w:val="24"/>
        </w:rPr>
        <w:t>8</w:t>
      </w:r>
      <w:r>
        <w:rPr>
          <w:rFonts w:hint="eastAsia" w:ascii="宋体" w:hAnsi="宋体" w:cs="宋体"/>
          <w:sz w:val="24"/>
        </w:rPr>
        <w:t>）依次确定中标候选人，前面包已定为成交第一候选人的自动放弃后续包（除包</w:t>
      </w:r>
      <w:r>
        <w:rPr>
          <w:rFonts w:ascii="宋体" w:hAnsi="宋体" w:cs="宋体"/>
          <w:sz w:val="24"/>
        </w:rPr>
        <w:t>9</w:t>
      </w:r>
      <w:r>
        <w:rPr>
          <w:rFonts w:hint="eastAsia" w:ascii="宋体" w:hAnsi="宋体" w:cs="宋体"/>
          <w:sz w:val="24"/>
        </w:rPr>
        <w:t>外）的成交资格，某一包实质性响应单位不足3家则该包废标。</w:t>
      </w:r>
    </w:p>
    <w:p w14:paraId="58246C57">
      <w:pPr>
        <w:spacing w:line="360" w:lineRule="auto"/>
        <w:ind w:firstLine="480" w:firstLineChars="200"/>
        <w:rPr>
          <w:sz w:val="24"/>
        </w:rPr>
      </w:pPr>
      <w:r>
        <w:rPr>
          <w:rFonts w:hint="eastAsia"/>
          <w:sz w:val="24"/>
        </w:rPr>
        <w:t>4</w:t>
      </w:r>
      <w:r>
        <w:rPr>
          <w:sz w:val="24"/>
        </w:rPr>
        <w:t>.</w:t>
      </w:r>
      <w:r>
        <w:rPr>
          <w:rFonts w:hint="eastAsia"/>
          <w:sz w:val="24"/>
        </w:rPr>
        <w:t>合同履行期限：1年</w:t>
      </w:r>
    </w:p>
    <w:p w14:paraId="434787F5">
      <w:pPr>
        <w:spacing w:line="360" w:lineRule="auto"/>
        <w:ind w:firstLine="480" w:firstLineChars="200"/>
        <w:rPr>
          <w:rFonts w:hint="eastAsia"/>
          <w:sz w:val="24"/>
        </w:rPr>
      </w:pPr>
      <w:r>
        <w:rPr>
          <w:sz w:val="24"/>
        </w:rPr>
        <w:t>5.</w:t>
      </w:r>
      <w:r>
        <w:rPr>
          <w:rFonts w:hint="eastAsia"/>
          <w:sz w:val="24"/>
        </w:rPr>
        <w:t>采购单位及市级及以上监管部门在项目实施周期对各供应商进行抽检质量考核，若供应商抽检考核不合格，则立刻进行整改，直至采购单位考核合格，整改期间该单位的抽检工作由其余供应商承接。</w:t>
      </w:r>
    </w:p>
    <w:p w14:paraId="6333ADB6">
      <w:pPr>
        <w:spacing w:line="360" w:lineRule="auto"/>
        <w:ind w:firstLine="480" w:firstLineChars="200"/>
        <w:outlineLvl w:val="0"/>
        <w:rPr>
          <w:rFonts w:ascii="宋体" w:hAnsi="宋体" w:cs="宋体"/>
          <w:bCs/>
          <w:sz w:val="24"/>
        </w:rPr>
      </w:pPr>
      <w:bookmarkStart w:id="421" w:name="_Toc6908"/>
      <w:r>
        <w:rPr>
          <w:rFonts w:ascii="宋体" w:hAnsi="宋体" w:cs="宋体"/>
          <w:bCs/>
          <w:sz w:val="24"/>
        </w:rPr>
        <w:t>6</w:t>
      </w:r>
      <w:r>
        <w:rPr>
          <w:rFonts w:hint="eastAsia" w:ascii="宋体" w:hAnsi="宋体" w:cs="宋体"/>
          <w:bCs/>
          <w:sz w:val="24"/>
        </w:rPr>
        <w:t>.检测内容</w:t>
      </w:r>
      <w:bookmarkEnd w:id="421"/>
    </w:p>
    <w:p w14:paraId="2FE9C73D">
      <w:pPr>
        <w:spacing w:line="360" w:lineRule="auto"/>
        <w:ind w:firstLine="480" w:firstLineChars="200"/>
        <w:outlineLvl w:val="0"/>
        <w:rPr>
          <w:rFonts w:ascii="宋体" w:hAnsi="宋体" w:cs="宋体"/>
          <w:bCs/>
          <w:sz w:val="24"/>
        </w:rPr>
      </w:pPr>
      <w:bookmarkStart w:id="422" w:name="_Toc17212"/>
      <w:r>
        <w:rPr>
          <w:rFonts w:hint="eastAsia" w:ascii="宋体" w:hAnsi="宋体" w:cs="宋体"/>
          <w:bCs/>
          <w:sz w:val="24"/>
        </w:rPr>
        <w:t>采购人制定抽样计划后，及时将检测批次、品种、检验项目以及具体任务分配等通知承检机构，检测品种、检测批次和检测项目见附表。对列入指定品种的食用农产品，抽样量不少于食用农产品销售环节检测批次数的50%，检验项目应包含所指定的项目。</w:t>
      </w:r>
      <w:bookmarkEnd w:id="422"/>
    </w:p>
    <w:p w14:paraId="2D9C65D1">
      <w:pPr>
        <w:spacing w:line="360" w:lineRule="auto"/>
        <w:ind w:firstLine="482" w:firstLineChars="200"/>
        <w:outlineLvl w:val="0"/>
        <w:rPr>
          <w:rFonts w:ascii="宋体" w:hAnsi="宋体" w:cs="宋体"/>
          <w:b/>
          <w:sz w:val="24"/>
        </w:rPr>
      </w:pPr>
      <w:bookmarkStart w:id="423" w:name="_Toc15267"/>
      <w:r>
        <w:rPr>
          <w:rFonts w:hint="eastAsia" w:ascii="宋体" w:hAnsi="宋体" w:cs="宋体"/>
          <w:b/>
          <w:sz w:val="24"/>
        </w:rPr>
        <w:t>如供应商不具备</w:t>
      </w:r>
      <w:r>
        <w:rPr>
          <w:rFonts w:hint="eastAsia" w:ascii="宋体"/>
          <w:b/>
          <w:sz w:val="24"/>
        </w:rPr>
        <w:t>特殊医学用途配方食品</w:t>
      </w:r>
      <w:r>
        <w:rPr>
          <w:rFonts w:hint="eastAsia" w:ascii="宋体" w:hAnsi="宋体" w:cs="宋体"/>
          <w:b/>
          <w:sz w:val="24"/>
        </w:rPr>
        <w:t>、特殊膳食食品、婴幼儿配方食品、保健食品检测能力的，经采购人书面同意后可委托具备检测该项目能力的检验机构进行检验。</w:t>
      </w:r>
      <w:bookmarkEnd w:id="423"/>
    </w:p>
    <w:p w14:paraId="68F713DA">
      <w:pPr>
        <w:spacing w:line="360" w:lineRule="auto"/>
        <w:ind w:firstLine="480" w:firstLineChars="200"/>
        <w:outlineLvl w:val="0"/>
        <w:rPr>
          <w:rFonts w:ascii="宋体" w:hAnsi="宋体" w:cs="宋体"/>
          <w:bCs/>
          <w:sz w:val="24"/>
        </w:rPr>
      </w:pPr>
      <w:bookmarkStart w:id="424" w:name="_Toc23975"/>
      <w:r>
        <w:rPr>
          <w:rFonts w:ascii="宋体" w:hAnsi="宋体" w:cs="宋体"/>
          <w:bCs/>
          <w:sz w:val="24"/>
        </w:rPr>
        <w:t>7</w:t>
      </w:r>
      <w:r>
        <w:rPr>
          <w:rFonts w:hint="eastAsia" w:ascii="宋体" w:hAnsi="宋体" w:cs="宋体"/>
          <w:bCs/>
          <w:sz w:val="24"/>
        </w:rPr>
        <w:t>.检测要求</w:t>
      </w:r>
      <w:bookmarkEnd w:id="424"/>
    </w:p>
    <w:p w14:paraId="0EF64361">
      <w:pPr>
        <w:spacing w:line="360" w:lineRule="auto"/>
        <w:ind w:firstLine="480" w:firstLineChars="200"/>
        <w:outlineLvl w:val="0"/>
        <w:rPr>
          <w:rFonts w:ascii="宋体" w:hAnsi="宋体" w:cs="宋体"/>
          <w:bCs/>
          <w:sz w:val="24"/>
        </w:rPr>
      </w:pPr>
      <w:bookmarkStart w:id="425" w:name="_Toc31201"/>
      <w:r>
        <w:rPr>
          <w:rFonts w:hint="eastAsia" w:ascii="宋体" w:hAnsi="宋体" w:cs="宋体"/>
          <w:bCs/>
          <w:sz w:val="24"/>
        </w:rPr>
        <w:t>承检机构应当在接到抽样检验任务后两日内，编制《检测细则》，内容包括抽样方法、检验项目、检验标准、判定原则等。</w:t>
      </w:r>
      <w:bookmarkEnd w:id="425"/>
    </w:p>
    <w:p w14:paraId="66538F92">
      <w:pPr>
        <w:numPr>
          <w:ilvl w:val="0"/>
          <w:numId w:val="10"/>
        </w:numPr>
        <w:spacing w:line="360" w:lineRule="auto"/>
        <w:ind w:firstLine="480" w:firstLineChars="200"/>
        <w:outlineLvl w:val="0"/>
        <w:rPr>
          <w:rFonts w:ascii="宋体" w:hAnsi="宋体" w:cs="宋体"/>
          <w:bCs/>
          <w:sz w:val="24"/>
        </w:rPr>
      </w:pPr>
      <w:bookmarkStart w:id="426" w:name="_Toc29326"/>
      <w:r>
        <w:rPr>
          <w:rFonts w:hint="eastAsia" w:ascii="宋体" w:hAnsi="宋体" w:cs="宋体"/>
          <w:bCs/>
          <w:sz w:val="24"/>
        </w:rPr>
        <w:t>检验项目应依据检验任务、食品标准（国家标准）、标签明示值确定。</w:t>
      </w:r>
      <w:bookmarkEnd w:id="426"/>
      <w:bookmarkStart w:id="427" w:name="_Toc25579"/>
    </w:p>
    <w:p w14:paraId="3EDB4886">
      <w:pPr>
        <w:spacing w:line="360" w:lineRule="auto"/>
        <w:ind w:firstLine="480" w:firstLineChars="200"/>
        <w:outlineLvl w:val="0"/>
        <w:rPr>
          <w:rFonts w:ascii="宋体" w:hAnsi="宋体" w:cs="宋体"/>
          <w:bCs/>
          <w:sz w:val="24"/>
        </w:rPr>
      </w:pPr>
      <w:r>
        <w:rPr>
          <w:rFonts w:hint="eastAsia" w:ascii="宋体" w:hAnsi="宋体" w:cs="宋体"/>
          <w:bCs/>
          <w:sz w:val="24"/>
        </w:rPr>
        <w:t>（2）抽样方法、检验标准、判定原则应依据食品标准（国家标准）以及国家食品药品监督管理局的有关食品抽样要求编制，涉及安全性指标的项目不得低于国家强制性标准要求。</w:t>
      </w:r>
      <w:bookmarkEnd w:id="427"/>
    </w:p>
    <w:p w14:paraId="5966BC67">
      <w:pPr>
        <w:spacing w:line="360" w:lineRule="auto"/>
        <w:ind w:firstLine="480" w:firstLineChars="200"/>
        <w:outlineLvl w:val="0"/>
        <w:rPr>
          <w:rFonts w:ascii="宋体" w:hAnsi="宋体" w:cs="宋体"/>
          <w:bCs/>
          <w:sz w:val="24"/>
        </w:rPr>
      </w:pPr>
      <w:bookmarkStart w:id="428" w:name="_Toc29534"/>
      <w:r>
        <w:rPr>
          <w:rFonts w:hint="eastAsia" w:ascii="宋体" w:hAnsi="宋体" w:cs="宋体"/>
          <w:bCs/>
          <w:sz w:val="24"/>
        </w:rPr>
        <w:t>（3）如涉及标签的单项判定，应按国家相关标签标识标准要求判定。</w:t>
      </w:r>
      <w:bookmarkEnd w:id="428"/>
    </w:p>
    <w:p w14:paraId="75FE9014">
      <w:pPr>
        <w:spacing w:line="360" w:lineRule="auto"/>
        <w:ind w:firstLine="480" w:firstLineChars="200"/>
        <w:outlineLvl w:val="0"/>
        <w:rPr>
          <w:rFonts w:ascii="宋体" w:hAnsi="宋体" w:cs="宋体"/>
          <w:bCs/>
          <w:sz w:val="24"/>
        </w:rPr>
      </w:pPr>
      <w:bookmarkStart w:id="429" w:name="_Toc31058"/>
      <w:r>
        <w:rPr>
          <w:rFonts w:hint="eastAsia" w:ascii="宋体" w:hAnsi="宋体" w:cs="宋体"/>
          <w:bCs/>
          <w:sz w:val="24"/>
        </w:rPr>
        <w:t>（4）检验结论应采用以下用语：样品检验项目全部合格时，其检验结论为“经抽样检验，所检项目符合GB-------------标准要求”；样品检验项目有一项及以上不合格时，其检验结论为“经抽样检验，××项目不符合GB-----标准要求，检验结论为不合格”。</w:t>
      </w:r>
      <w:bookmarkEnd w:id="429"/>
    </w:p>
    <w:p w14:paraId="667AAAC7">
      <w:pPr>
        <w:spacing w:line="360" w:lineRule="auto"/>
        <w:ind w:firstLine="480" w:firstLineChars="200"/>
        <w:outlineLvl w:val="0"/>
        <w:rPr>
          <w:rFonts w:ascii="宋体" w:hAnsi="宋体" w:cs="宋体"/>
          <w:bCs/>
          <w:sz w:val="24"/>
        </w:rPr>
      </w:pPr>
      <w:bookmarkStart w:id="430" w:name="_Toc28090"/>
      <w:r>
        <w:rPr>
          <w:rFonts w:ascii="宋体" w:hAnsi="宋体" w:cs="宋体"/>
          <w:bCs/>
          <w:sz w:val="24"/>
        </w:rPr>
        <w:t>8</w:t>
      </w:r>
      <w:r>
        <w:rPr>
          <w:rFonts w:hint="eastAsia" w:ascii="宋体" w:hAnsi="宋体" w:cs="宋体"/>
          <w:bCs/>
          <w:sz w:val="24"/>
        </w:rPr>
        <w:t>.时间要求</w:t>
      </w:r>
      <w:bookmarkEnd w:id="430"/>
    </w:p>
    <w:p w14:paraId="71BB3132">
      <w:pPr>
        <w:spacing w:line="360" w:lineRule="auto"/>
        <w:ind w:firstLine="480" w:firstLineChars="200"/>
        <w:outlineLvl w:val="0"/>
        <w:rPr>
          <w:rFonts w:ascii="宋体" w:hAnsi="宋体" w:cs="宋体"/>
          <w:bCs/>
          <w:sz w:val="24"/>
        </w:rPr>
      </w:pPr>
      <w:bookmarkStart w:id="431" w:name="_Toc21545"/>
      <w:r>
        <w:rPr>
          <w:rFonts w:hint="eastAsia" w:ascii="宋体" w:hAnsi="宋体" w:cs="宋体"/>
          <w:bCs/>
          <w:sz w:val="24"/>
        </w:rPr>
        <w:t>按照计划安排，所有取样工作均在当年1</w:t>
      </w:r>
      <w:r>
        <w:rPr>
          <w:rFonts w:ascii="宋体" w:hAnsi="宋体" w:cs="宋体"/>
          <w:bCs/>
          <w:sz w:val="24"/>
        </w:rPr>
        <w:t>1</w:t>
      </w:r>
      <w:r>
        <w:rPr>
          <w:rFonts w:hint="eastAsia" w:ascii="宋体" w:hAnsi="宋体" w:cs="宋体"/>
          <w:bCs/>
          <w:sz w:val="24"/>
        </w:rPr>
        <w:t>月</w:t>
      </w:r>
      <w:r>
        <w:rPr>
          <w:rFonts w:ascii="宋体" w:hAnsi="宋体" w:cs="宋体"/>
          <w:bCs/>
          <w:sz w:val="24"/>
        </w:rPr>
        <w:t>2</w:t>
      </w:r>
      <w:r>
        <w:rPr>
          <w:rFonts w:hint="eastAsia" w:ascii="宋体" w:hAnsi="宋体" w:cs="宋体"/>
          <w:bCs/>
          <w:sz w:val="24"/>
        </w:rPr>
        <w:t>0日前完成，所有检测报告均应在当年11月30日前出具并上传相关平台系统。因采购人原因造成取样延迟的，不得追究承检机构责任；因承检机构原因造成取样延迟的，承检机构应当按每批次500元/天支付采购人赔偿金。取样完成后，承检机构应及时进行检验，并在十个工作日内出具检验结论，并保证检验结果准确。</w:t>
      </w:r>
      <w:bookmarkEnd w:id="431"/>
    </w:p>
    <w:p w14:paraId="3F5E6C16">
      <w:pPr>
        <w:spacing w:line="360" w:lineRule="auto"/>
        <w:ind w:firstLine="480" w:firstLineChars="200"/>
        <w:outlineLvl w:val="0"/>
        <w:rPr>
          <w:rFonts w:ascii="宋体" w:hAnsi="宋体" w:cs="宋体"/>
          <w:bCs/>
          <w:sz w:val="24"/>
        </w:rPr>
      </w:pPr>
      <w:bookmarkStart w:id="432" w:name="_Toc4757"/>
      <w:r>
        <w:rPr>
          <w:rFonts w:ascii="宋体" w:hAnsi="宋体" w:cs="宋体"/>
          <w:bCs/>
          <w:sz w:val="24"/>
        </w:rPr>
        <w:t>9</w:t>
      </w:r>
      <w:r>
        <w:rPr>
          <w:rFonts w:hint="eastAsia" w:ascii="宋体" w:hAnsi="宋体" w:cs="宋体"/>
          <w:bCs/>
          <w:sz w:val="24"/>
        </w:rPr>
        <w:t>.取样要求</w:t>
      </w:r>
      <w:bookmarkEnd w:id="432"/>
    </w:p>
    <w:p w14:paraId="7226558C">
      <w:pPr>
        <w:spacing w:line="360" w:lineRule="auto"/>
        <w:ind w:firstLine="480" w:firstLineChars="200"/>
        <w:outlineLvl w:val="0"/>
        <w:rPr>
          <w:rFonts w:ascii="宋体" w:hAnsi="宋体" w:cs="宋体"/>
          <w:bCs/>
          <w:sz w:val="24"/>
        </w:rPr>
      </w:pPr>
      <w:bookmarkStart w:id="433" w:name="_Toc3092"/>
      <w:r>
        <w:rPr>
          <w:rFonts w:hint="eastAsia" w:ascii="宋体" w:hAnsi="宋体" w:cs="宋体"/>
          <w:bCs/>
          <w:sz w:val="24"/>
        </w:rPr>
        <w:t>（1）采购人根据情况派出执法人员参加现场取样，确定被检单位，承检机构应当派两名以上(包括两名)有资质的工作人员参与取样，并确保按照国家规定的采样规则和规范进行取样。具体取样食品品种由采购人执法人员根据抽检计划决定，抽样过程填制《食品抽样检验工作单》。</w:t>
      </w:r>
      <w:bookmarkEnd w:id="433"/>
    </w:p>
    <w:p w14:paraId="101437D1">
      <w:pPr>
        <w:spacing w:line="360" w:lineRule="auto"/>
        <w:ind w:firstLine="480" w:firstLineChars="200"/>
        <w:outlineLvl w:val="0"/>
        <w:rPr>
          <w:rFonts w:ascii="宋体" w:hAnsi="宋体" w:cs="宋体"/>
          <w:bCs/>
          <w:sz w:val="24"/>
        </w:rPr>
      </w:pPr>
      <w:bookmarkStart w:id="434" w:name="_Toc9086"/>
      <w:r>
        <w:rPr>
          <w:rFonts w:hint="eastAsia" w:ascii="宋体" w:hAnsi="宋体" w:cs="宋体"/>
          <w:bCs/>
          <w:sz w:val="24"/>
        </w:rPr>
        <w:t>（2）供应商取样时，应同时提取能够满足复检需要的足够的备样。样本、备样应当购买，购样费用由承检机构支付。取样后，在采购人监督下按要求封存样本及备样，由承检机构工作人员一同带回并妥善保管。</w:t>
      </w:r>
      <w:bookmarkEnd w:id="434"/>
    </w:p>
    <w:p w14:paraId="06DC0084">
      <w:pPr>
        <w:spacing w:line="360" w:lineRule="auto"/>
        <w:ind w:firstLine="482" w:firstLineChars="200"/>
        <w:outlineLvl w:val="0"/>
        <w:rPr>
          <w:rFonts w:ascii="宋体" w:hAnsi="宋体" w:cs="宋体"/>
          <w:b/>
          <w:bCs/>
          <w:sz w:val="24"/>
        </w:rPr>
      </w:pPr>
      <w:bookmarkStart w:id="435" w:name="_Toc11002"/>
      <w:r>
        <w:rPr>
          <w:rFonts w:hint="eastAsia" w:ascii="宋体" w:hAnsi="宋体" w:cs="宋体"/>
          <w:b/>
          <w:bCs/>
          <w:sz w:val="24"/>
        </w:rPr>
        <w:t>（3）</w:t>
      </w:r>
      <w:bookmarkEnd w:id="435"/>
      <w:bookmarkStart w:id="436" w:name="_Toc24332"/>
      <w:r>
        <w:rPr>
          <w:rFonts w:hint="eastAsia" w:ascii="宋体" w:hAnsi="宋体" w:cs="宋体"/>
          <w:b/>
          <w:bCs/>
          <w:sz w:val="24"/>
        </w:rPr>
        <w:t>采集的用于微生物及其致病因子检验的样品必须在采样后4小时内开始检测，生鲜样品采集在采样当日开始检测。</w:t>
      </w:r>
      <w:bookmarkEnd w:id="436"/>
    </w:p>
    <w:p w14:paraId="05B1050B">
      <w:pPr>
        <w:spacing w:line="360" w:lineRule="auto"/>
        <w:ind w:firstLine="482" w:firstLineChars="200"/>
        <w:outlineLvl w:val="0"/>
        <w:rPr>
          <w:rFonts w:ascii="宋体" w:hAnsi="宋体" w:cs="宋体"/>
          <w:b/>
          <w:bCs/>
          <w:sz w:val="24"/>
        </w:rPr>
      </w:pPr>
      <w:bookmarkStart w:id="437" w:name="_Toc2104"/>
      <w:r>
        <w:rPr>
          <w:rFonts w:hint="eastAsia" w:ascii="宋体" w:hAnsi="宋体" w:cs="宋体"/>
          <w:b/>
          <w:bCs/>
          <w:sz w:val="24"/>
        </w:rPr>
        <w:t>1</w:t>
      </w:r>
      <w:r>
        <w:rPr>
          <w:rFonts w:ascii="宋体" w:hAnsi="宋体" w:cs="宋体"/>
          <w:b/>
          <w:bCs/>
          <w:sz w:val="24"/>
        </w:rPr>
        <w:t>0</w:t>
      </w:r>
      <w:r>
        <w:rPr>
          <w:rFonts w:hint="eastAsia" w:ascii="宋体" w:hAnsi="宋体" w:cs="宋体"/>
          <w:b/>
          <w:bCs/>
          <w:sz w:val="24"/>
        </w:rPr>
        <w:t>.样品保存要求</w:t>
      </w:r>
      <w:bookmarkEnd w:id="437"/>
    </w:p>
    <w:p w14:paraId="52DA9C17">
      <w:pPr>
        <w:spacing w:line="360" w:lineRule="auto"/>
        <w:ind w:firstLine="480" w:firstLineChars="200"/>
        <w:outlineLvl w:val="0"/>
        <w:rPr>
          <w:rFonts w:ascii="宋体" w:hAnsi="宋体" w:cs="宋体"/>
          <w:bCs/>
          <w:sz w:val="24"/>
        </w:rPr>
      </w:pPr>
      <w:bookmarkStart w:id="438" w:name="_Toc3515"/>
      <w:r>
        <w:rPr>
          <w:rFonts w:hint="eastAsia" w:ascii="宋体" w:hAnsi="宋体" w:cs="宋体"/>
          <w:bCs/>
          <w:sz w:val="24"/>
        </w:rPr>
        <w:t>食品安全监督抽检的检验结论合格的，承检机构应当自检验结论作出之日起3个月内妥善保存复检备份样品；复检备份样品剩余保质期不足3个月的，应当保存至保质期结束。检验结论不合格的，承检机构应当自检验结论作出之日起6个月内妥善保存复检备份样品；复检备份样品剩余保质期不足6个月的，应当保存至保质期结束。</w:t>
      </w:r>
      <w:bookmarkEnd w:id="438"/>
    </w:p>
    <w:p w14:paraId="2CD8AF8F">
      <w:pPr>
        <w:spacing w:line="360" w:lineRule="auto"/>
        <w:ind w:firstLine="480" w:firstLineChars="200"/>
        <w:outlineLvl w:val="0"/>
        <w:rPr>
          <w:rFonts w:ascii="宋体" w:hAnsi="宋体" w:cs="宋体"/>
          <w:bCs/>
          <w:sz w:val="24"/>
        </w:rPr>
      </w:pPr>
      <w:bookmarkStart w:id="439" w:name="_Toc18058"/>
      <w:r>
        <w:rPr>
          <w:rFonts w:hint="eastAsia" w:ascii="宋体" w:hAnsi="宋体" w:cs="宋体"/>
          <w:bCs/>
          <w:sz w:val="24"/>
        </w:rPr>
        <w:t>针对食品抽样过程中对有特殊保存要求的样品管理，供应商应具备相应的速冻及冷藏运输条件。</w:t>
      </w:r>
      <w:bookmarkEnd w:id="439"/>
    </w:p>
    <w:p w14:paraId="06DDD332">
      <w:pPr>
        <w:spacing w:line="360" w:lineRule="auto"/>
        <w:ind w:firstLine="482" w:firstLineChars="200"/>
        <w:outlineLvl w:val="0"/>
        <w:rPr>
          <w:rFonts w:ascii="宋体" w:hAnsi="宋体" w:cs="宋体"/>
          <w:b/>
          <w:bCs/>
          <w:sz w:val="24"/>
        </w:rPr>
      </w:pPr>
      <w:bookmarkStart w:id="440" w:name="_Toc6857"/>
      <w:r>
        <w:rPr>
          <w:rFonts w:hint="eastAsia" w:ascii="宋体" w:hAnsi="宋体" w:cs="宋体"/>
          <w:b/>
          <w:bCs/>
          <w:sz w:val="24"/>
        </w:rPr>
        <w:t>1</w:t>
      </w:r>
      <w:r>
        <w:rPr>
          <w:rFonts w:ascii="宋体" w:hAnsi="宋体" w:cs="宋体"/>
          <w:b/>
          <w:bCs/>
          <w:sz w:val="24"/>
        </w:rPr>
        <w:t>1</w:t>
      </w:r>
      <w:r>
        <w:rPr>
          <w:rFonts w:hint="eastAsia" w:ascii="宋体" w:hAnsi="宋体" w:cs="宋体"/>
          <w:b/>
          <w:bCs/>
          <w:sz w:val="24"/>
        </w:rPr>
        <w:t>.出具检测报告</w:t>
      </w:r>
      <w:bookmarkEnd w:id="440"/>
    </w:p>
    <w:p w14:paraId="46F06AF1">
      <w:pPr>
        <w:spacing w:line="360" w:lineRule="auto"/>
        <w:ind w:firstLine="480" w:firstLineChars="200"/>
        <w:outlineLvl w:val="0"/>
        <w:rPr>
          <w:rFonts w:ascii="宋体" w:hAnsi="宋体" w:cs="宋体"/>
          <w:bCs/>
          <w:sz w:val="24"/>
        </w:rPr>
      </w:pPr>
      <w:bookmarkStart w:id="441" w:name="_Toc20987"/>
      <w:r>
        <w:rPr>
          <w:rFonts w:hint="eastAsia" w:ascii="宋体" w:hAnsi="宋体" w:cs="宋体"/>
          <w:bCs/>
          <w:sz w:val="24"/>
        </w:rPr>
        <w:t>（1）检验报告出来后，供应商应将不合格报告于两个工作日内及时送达采购人，合格报告五个工作日内送达。当月实施抽检的结果汇总表（电子版及文字版）等相关材料，供应商于收集完全后2个工作日内统一提交采购人。</w:t>
      </w:r>
      <w:bookmarkEnd w:id="441"/>
    </w:p>
    <w:p w14:paraId="090536F9">
      <w:pPr>
        <w:spacing w:line="360" w:lineRule="auto"/>
        <w:ind w:firstLine="480" w:firstLineChars="200"/>
        <w:outlineLvl w:val="0"/>
        <w:rPr>
          <w:rFonts w:ascii="宋体" w:hAnsi="宋体" w:cs="宋体"/>
          <w:bCs/>
          <w:sz w:val="24"/>
        </w:rPr>
      </w:pPr>
      <w:bookmarkStart w:id="442" w:name="_Toc16585"/>
      <w:r>
        <w:rPr>
          <w:rFonts w:hint="eastAsia" w:ascii="宋体" w:hAnsi="宋体" w:cs="宋体"/>
          <w:bCs/>
          <w:sz w:val="24"/>
        </w:rPr>
        <w:t>（2）检验结果为合格的，承检机构应印制检验报告，一份自己留存，三份在五个工作日内交给采购人；检验结果为不合格的，承检机构应印制检验报告，一份自己留存，六份在两个工作日内及时送达采购人。</w:t>
      </w:r>
      <w:bookmarkEnd w:id="442"/>
    </w:p>
    <w:p w14:paraId="77F8BA3E">
      <w:pPr>
        <w:spacing w:line="360" w:lineRule="auto"/>
        <w:ind w:firstLine="480" w:firstLineChars="200"/>
        <w:outlineLvl w:val="0"/>
        <w:rPr>
          <w:rFonts w:ascii="宋体" w:hAnsi="宋体" w:cs="宋体"/>
          <w:bCs/>
          <w:sz w:val="24"/>
        </w:rPr>
      </w:pPr>
      <w:bookmarkStart w:id="443" w:name="_Toc11754"/>
      <w:r>
        <w:rPr>
          <w:rFonts w:hint="eastAsia" w:ascii="宋体" w:hAnsi="宋体" w:cs="宋体"/>
          <w:bCs/>
          <w:sz w:val="24"/>
        </w:rPr>
        <w:t>1</w:t>
      </w:r>
      <w:r>
        <w:rPr>
          <w:rFonts w:ascii="宋体" w:hAnsi="宋体" w:cs="宋体"/>
          <w:bCs/>
          <w:sz w:val="24"/>
        </w:rPr>
        <w:t>2</w:t>
      </w:r>
      <w:r>
        <w:rPr>
          <w:rFonts w:hint="eastAsia" w:ascii="宋体" w:hAnsi="宋体" w:cs="宋体"/>
          <w:bCs/>
          <w:sz w:val="24"/>
        </w:rPr>
        <w:t>.操作办法</w:t>
      </w:r>
      <w:bookmarkEnd w:id="443"/>
    </w:p>
    <w:p w14:paraId="6D3A37D1">
      <w:pPr>
        <w:spacing w:line="360" w:lineRule="auto"/>
        <w:ind w:firstLine="480" w:firstLineChars="200"/>
        <w:outlineLvl w:val="0"/>
        <w:rPr>
          <w:rFonts w:ascii="宋体" w:hAnsi="宋体" w:cs="宋体"/>
          <w:bCs/>
          <w:sz w:val="24"/>
        </w:rPr>
      </w:pPr>
      <w:bookmarkStart w:id="444" w:name="_Toc1294"/>
      <w:r>
        <w:rPr>
          <w:rFonts w:hint="eastAsia" w:ascii="宋体" w:hAnsi="宋体" w:cs="宋体"/>
          <w:bCs/>
          <w:sz w:val="24"/>
        </w:rPr>
        <w:t>本次检测任务分别在农业种养殖、食品生产、流通和餐饮服务等环节，采购人将组织入围承检机构承担相应环节的抽检任务，具体操作要求以采购人食品安全年度抽检计划为准。</w:t>
      </w:r>
      <w:bookmarkEnd w:id="444"/>
    </w:p>
    <w:p w14:paraId="6E957794">
      <w:pPr>
        <w:spacing w:line="360" w:lineRule="auto"/>
        <w:ind w:firstLine="480" w:firstLineChars="200"/>
        <w:outlineLvl w:val="0"/>
        <w:rPr>
          <w:rFonts w:hint="eastAsia" w:ascii="宋体" w:hAnsi="宋体" w:eastAsia="宋体" w:cs="宋体"/>
          <w:bCs/>
          <w:sz w:val="24"/>
        </w:rPr>
      </w:pPr>
      <w:bookmarkStart w:id="445" w:name="_Toc12249"/>
      <w:r>
        <w:rPr>
          <w:rFonts w:hint="eastAsia" w:ascii="宋体" w:hAnsi="宋体" w:eastAsia="宋体" w:cs="宋体"/>
          <w:bCs/>
          <w:sz w:val="24"/>
        </w:rPr>
        <w:t>13.费用结算</w:t>
      </w:r>
      <w:bookmarkEnd w:id="445"/>
    </w:p>
    <w:p w14:paraId="072CFCAB">
      <w:pPr>
        <w:keepNext w:val="0"/>
        <w:keepLines w:val="0"/>
        <w:pageBreakBefore w:val="0"/>
        <w:widowControl w:val="0"/>
        <w:spacing w:line="360" w:lineRule="auto"/>
        <w:ind w:firstLine="480"/>
        <w:contextualSpacing/>
        <w:outlineLvl w:val="9"/>
        <w:rPr>
          <w:rFonts w:hint="eastAsia" w:ascii="宋体" w:hAnsi="宋体" w:eastAsia="宋体" w:cs="宋体"/>
          <w:bCs/>
          <w:color w:val="000000"/>
          <w:sz w:val="24"/>
          <w:szCs w:val="24"/>
          <w:highlight w:val="none"/>
          <w:lang w:val="en-US" w:eastAsia="zh-CN"/>
        </w:rPr>
      </w:pPr>
      <w:bookmarkStart w:id="446" w:name="_Toc22405"/>
      <w:r>
        <w:rPr>
          <w:rFonts w:hint="eastAsia" w:ascii="宋体" w:hAnsi="宋体" w:eastAsia="宋体" w:cs="宋体"/>
          <w:bCs/>
          <w:color w:val="000000"/>
          <w:sz w:val="24"/>
          <w:szCs w:val="24"/>
          <w:highlight w:val="none"/>
          <w:lang w:val="en-US" w:eastAsia="zh-CN"/>
        </w:rPr>
        <w:t>检测费用标准为：成交供应商根据单批次均价制定检测项目的类别，单个项目检测费用以《市场监管部门食品安全抽检监测项目检验费用参考表》中收费标准*固定折扣（即1-优惠率）为准，采购人根据成交供应商出具的检验结果和报告数量，按实结算。其他费用包含抽样样品购买、运输、检验、差旅、对被抽样单位评估等成交供应商为抽检而产生的各项费用，该费用单批次平均价格不超过人民币150元整。检测费用加其他费用不得多于合同签订金额。</w:t>
      </w:r>
    </w:p>
    <w:p w14:paraId="200462C9">
      <w:pPr>
        <w:keepNext w:val="0"/>
        <w:keepLines w:val="0"/>
        <w:pageBreakBefore w:val="0"/>
        <w:widowControl w:val="0"/>
        <w:spacing w:line="360" w:lineRule="auto"/>
        <w:ind w:firstLine="480"/>
        <w:contextualSpacing/>
        <w:outlineLvl w:val="9"/>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所抽取的样品检验项目应全部覆盖《2025年常州市食品安全监督抽检品种、项目表》中必检项目。</w:t>
      </w:r>
    </w:p>
    <w:p w14:paraId="69DA4BDD">
      <w:pPr>
        <w:spacing w:line="360" w:lineRule="auto"/>
        <w:ind w:firstLine="480" w:firstLineChars="200"/>
        <w:outlineLvl w:val="0"/>
        <w:rPr>
          <w:rFonts w:hint="eastAsia" w:ascii="宋体" w:hAnsi="宋体" w:eastAsia="宋体" w:cs="宋体"/>
          <w:bCs/>
          <w:sz w:val="24"/>
          <w:highlight w:val="none"/>
        </w:rPr>
      </w:pPr>
      <w:r>
        <w:rPr>
          <w:rFonts w:hint="eastAsia" w:ascii="宋体" w:hAnsi="宋体" w:eastAsia="宋体" w:cs="宋体"/>
          <w:bCs/>
          <w:sz w:val="24"/>
        </w:rPr>
        <w:t>检测结束后，经采购单位确认检测结果无异议，按</w:t>
      </w:r>
      <w:r>
        <w:rPr>
          <w:rFonts w:hint="eastAsia" w:ascii="宋体" w:hAnsi="宋体" w:eastAsia="宋体" w:cs="宋体"/>
          <w:bCs/>
          <w:sz w:val="24"/>
          <w:highlight w:val="none"/>
        </w:rPr>
        <w:t>实结算。</w:t>
      </w:r>
      <w:bookmarkEnd w:id="446"/>
      <w:bookmarkStart w:id="447" w:name="_Toc32330"/>
      <w:r>
        <w:rPr>
          <w:rFonts w:hint="eastAsia" w:ascii="宋体" w:hAnsi="宋体" w:eastAsia="宋体" w:cs="宋体"/>
          <w:bCs/>
          <w:sz w:val="24"/>
          <w:highlight w:val="none"/>
        </w:rPr>
        <w:t>经甲方确认检测结果无异议后，</w:t>
      </w:r>
      <w:r>
        <w:rPr>
          <w:rFonts w:hint="eastAsia" w:ascii="宋体" w:hAnsi="宋体" w:eastAsia="宋体" w:cs="宋体"/>
          <w:bCs/>
          <w:sz w:val="24"/>
          <w:highlight w:val="none"/>
          <w:lang w:val="en-US" w:eastAsia="zh-CN"/>
        </w:rPr>
        <w:t>每半年支付一次服务费用</w:t>
      </w:r>
      <w:r>
        <w:rPr>
          <w:rFonts w:hint="eastAsia" w:ascii="宋体" w:hAnsi="宋体" w:eastAsia="宋体" w:cs="宋体"/>
          <w:bCs/>
          <w:sz w:val="24"/>
          <w:highlight w:val="none"/>
        </w:rPr>
        <w:t>。</w:t>
      </w:r>
    </w:p>
    <w:p w14:paraId="56E1EB9D">
      <w:pPr>
        <w:spacing w:line="360" w:lineRule="auto"/>
        <w:ind w:firstLine="480" w:firstLineChars="200"/>
        <w:outlineLvl w:val="0"/>
        <w:rPr>
          <w:rFonts w:hint="eastAsia" w:ascii="宋体" w:hAnsi="宋体" w:eastAsia="宋体" w:cs="宋体"/>
          <w:bCs/>
          <w:sz w:val="24"/>
          <w:highlight w:val="none"/>
        </w:rPr>
      </w:pPr>
      <w:r>
        <w:rPr>
          <w:rFonts w:hint="eastAsia" w:ascii="宋体" w:hAnsi="宋体" w:eastAsia="宋体" w:cs="宋体"/>
          <w:bCs/>
          <w:sz w:val="24"/>
          <w:highlight w:val="none"/>
        </w:rPr>
        <w:t>14.违约责任</w:t>
      </w:r>
      <w:bookmarkEnd w:id="447"/>
    </w:p>
    <w:p w14:paraId="2F861BE6">
      <w:pPr>
        <w:spacing w:line="360" w:lineRule="auto"/>
        <w:ind w:firstLine="480" w:firstLineChars="200"/>
        <w:outlineLvl w:val="0"/>
        <w:rPr>
          <w:rFonts w:hint="eastAsia" w:ascii="宋体" w:hAnsi="宋体" w:cs="宋体"/>
          <w:bCs/>
          <w:sz w:val="24"/>
          <w:highlight w:val="none"/>
        </w:rPr>
      </w:pPr>
      <w:bookmarkStart w:id="448" w:name="_Toc11983"/>
      <w:r>
        <w:rPr>
          <w:rFonts w:hint="eastAsia" w:ascii="宋体" w:hAnsi="宋体" w:cs="宋体"/>
          <w:bCs/>
          <w:sz w:val="24"/>
          <w:highlight w:val="none"/>
        </w:rPr>
        <w:t>（1）因承检机构原因造成的检测程序违法、检测结果错误，由此造成采购人在行政复议中被确认违法或行政诉讼败诉，承检机构应当承担相关法律责任，包括赔偿采购人损失、支付违约金等，违约金为5万元/批次起。</w:t>
      </w:r>
      <w:bookmarkEnd w:id="448"/>
    </w:p>
    <w:p w14:paraId="0237899A">
      <w:pPr>
        <w:spacing w:line="360" w:lineRule="auto"/>
        <w:ind w:firstLine="480" w:firstLineChars="200"/>
        <w:outlineLvl w:val="0"/>
        <w:rPr>
          <w:rFonts w:hint="eastAsia" w:ascii="宋体" w:hAnsi="宋体" w:cs="宋体"/>
          <w:bCs/>
          <w:sz w:val="24"/>
          <w:highlight w:val="none"/>
        </w:rPr>
      </w:pPr>
      <w:bookmarkStart w:id="449" w:name="_Toc29752"/>
      <w:r>
        <w:rPr>
          <w:rFonts w:hint="eastAsia" w:ascii="宋体" w:hAnsi="宋体" w:cs="宋体"/>
          <w:bCs/>
          <w:sz w:val="24"/>
          <w:highlight w:val="none"/>
        </w:rPr>
        <w:t>（2）承检机构的工作未达到本次招标要求的（例如：服务响应时间超过招标规定时间要求的），采购人有权要求承检机构进行整改，如整改后仍达不到要求的采购人有权要求立即终止合同，并有权追究其违约责任。</w:t>
      </w:r>
      <w:bookmarkEnd w:id="449"/>
    </w:p>
    <w:p w14:paraId="5696E36F">
      <w:pPr>
        <w:spacing w:line="360" w:lineRule="auto"/>
        <w:ind w:firstLine="480" w:firstLineChars="200"/>
        <w:outlineLvl w:val="0"/>
        <w:rPr>
          <w:rFonts w:hint="eastAsia" w:ascii="宋体" w:hAnsi="宋体" w:eastAsia="宋体" w:cs="宋体"/>
          <w:bCs/>
          <w:sz w:val="24"/>
          <w:highlight w:val="none"/>
          <w:lang w:val="en-US" w:eastAsia="zh-CN"/>
        </w:rPr>
      </w:pPr>
      <w:r>
        <w:rPr>
          <w:rFonts w:hint="eastAsia" w:ascii="宋体" w:hAnsi="宋体" w:cs="宋体"/>
          <w:bCs/>
          <w:sz w:val="24"/>
          <w:highlight w:val="none"/>
        </w:rPr>
        <w:t>（3）承检机构投标文件中材料造假，如被查实，采购人有权终止合同并有权追</w:t>
      </w:r>
      <w:r>
        <w:rPr>
          <w:rFonts w:hint="eastAsia" w:ascii="宋体" w:hAnsi="宋体" w:eastAsia="宋体" w:cs="宋体"/>
          <w:bCs/>
          <w:sz w:val="24"/>
          <w:highlight w:val="none"/>
          <w:lang w:val="en-US" w:eastAsia="zh-CN"/>
        </w:rPr>
        <w:t>究其违约责任。</w:t>
      </w:r>
    </w:p>
    <w:p w14:paraId="553FFDBA">
      <w:pPr>
        <w:spacing w:line="360" w:lineRule="auto"/>
        <w:ind w:firstLine="480" w:firstLineChars="200"/>
        <w:outlineLvl w:val="0"/>
        <w:rPr>
          <w:rFonts w:hint="eastAsia" w:ascii="宋体" w:hAnsi="宋体" w:eastAsia="宋体" w:cs="宋体"/>
          <w:bCs/>
          <w:sz w:val="24"/>
          <w:highlight w:val="none"/>
        </w:rPr>
      </w:pPr>
      <w:r>
        <w:rPr>
          <w:rFonts w:hint="eastAsia" w:ascii="宋体" w:hAnsi="宋体" w:eastAsia="宋体" w:cs="宋体"/>
          <w:bCs/>
          <w:sz w:val="24"/>
          <w:highlight w:val="none"/>
        </w:rPr>
        <w:t>1.食品国抽系统数据质量被国家总局、省局或市局（三家中有一家）通报的；每有一起，扣除结算价的</w:t>
      </w:r>
      <w:r>
        <w:rPr>
          <w:rFonts w:hint="eastAsia" w:ascii="宋体" w:hAnsi="宋体" w:cs="宋体"/>
          <w:bCs/>
          <w:sz w:val="24"/>
          <w:highlight w:val="none"/>
          <w:lang w:val="en-US" w:eastAsia="zh-CN"/>
        </w:rPr>
        <w:t>5</w:t>
      </w:r>
      <w:r>
        <w:rPr>
          <w:rFonts w:hint="eastAsia" w:ascii="宋体" w:hAnsi="宋体" w:eastAsia="宋体" w:cs="宋体"/>
          <w:bCs/>
          <w:sz w:val="24"/>
          <w:highlight w:val="none"/>
        </w:rPr>
        <w:t>%。</w:t>
      </w:r>
    </w:p>
    <w:p w14:paraId="4F3D78E5">
      <w:pPr>
        <w:spacing w:line="360" w:lineRule="auto"/>
        <w:ind w:firstLine="480" w:firstLineChars="200"/>
        <w:outlineLvl w:val="0"/>
        <w:rPr>
          <w:rFonts w:hint="eastAsia" w:ascii="宋体" w:hAnsi="宋体" w:eastAsia="宋体" w:cs="宋体"/>
          <w:bCs/>
          <w:sz w:val="24"/>
          <w:highlight w:val="yellow"/>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rPr>
        <w:t>复检异议推翻1次扣除结算价</w:t>
      </w:r>
      <w:r>
        <w:rPr>
          <w:rFonts w:hint="eastAsia" w:ascii="宋体" w:hAnsi="宋体" w:eastAsia="宋体" w:cs="宋体"/>
          <w:bCs/>
          <w:sz w:val="24"/>
          <w:highlight w:val="none"/>
          <w:lang w:val="en-US" w:eastAsia="zh-CN"/>
        </w:rPr>
        <w:t>的</w:t>
      </w: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最高扣除结算价的</w:t>
      </w:r>
      <w:r>
        <w:rPr>
          <w:rFonts w:hint="eastAsia" w:ascii="宋体" w:hAnsi="宋体" w:eastAsia="宋体" w:cs="宋体"/>
          <w:bCs/>
          <w:sz w:val="24"/>
          <w:highlight w:val="none"/>
        </w:rPr>
        <w:t>10%。</w:t>
      </w:r>
    </w:p>
    <w:p w14:paraId="487B1590">
      <w:pPr>
        <w:spacing w:line="360" w:lineRule="auto"/>
        <w:ind w:firstLine="480" w:firstLineChars="200"/>
        <w:outlineLvl w:val="0"/>
        <w:rPr>
          <w:rFonts w:hint="eastAsia" w:ascii="宋体" w:hAnsi="宋体" w:eastAsia="宋体" w:cs="宋体"/>
          <w:bCs/>
          <w:sz w:val="24"/>
        </w:rPr>
      </w:pPr>
      <w:r>
        <w:rPr>
          <w:rFonts w:hint="eastAsia" w:ascii="宋体" w:hAnsi="宋体" w:eastAsia="宋体" w:cs="宋体"/>
          <w:bCs/>
          <w:sz w:val="24"/>
          <w:lang w:val="en-US" w:eastAsia="zh-CN"/>
        </w:rPr>
        <w:t>3</w:t>
      </w:r>
      <w:r>
        <w:rPr>
          <w:rFonts w:hint="eastAsia" w:ascii="宋体" w:hAnsi="宋体" w:eastAsia="宋体" w:cs="宋体"/>
          <w:bCs/>
          <w:sz w:val="24"/>
        </w:rPr>
        <w:t>.甲方在当年年末按照《202</w:t>
      </w:r>
      <w:r>
        <w:rPr>
          <w:rFonts w:hint="eastAsia" w:ascii="宋体" w:hAnsi="宋体" w:eastAsia="宋体" w:cs="宋体"/>
          <w:bCs/>
          <w:sz w:val="24"/>
          <w:lang w:val="en-US" w:eastAsia="zh-CN"/>
        </w:rPr>
        <w:t>6</w:t>
      </w:r>
      <w:r>
        <w:rPr>
          <w:rFonts w:hint="eastAsia" w:ascii="宋体" w:hAnsi="宋体" w:eastAsia="宋体" w:cs="宋体"/>
          <w:bCs/>
          <w:sz w:val="24"/>
        </w:rPr>
        <w:t>年常州经济开发区食品安全抽检项目承检单位绩效考核评价细则》对乙方进行考核，若考核分数低于80分,甲方有权要求立即终止合同,乙方未完成批次,甲方有权交由其他供应商完成。</w:t>
      </w:r>
    </w:p>
    <w:p w14:paraId="47D22F33">
      <w:pPr>
        <w:keepNext w:val="0"/>
        <w:keepLines w:val="0"/>
        <w:pageBreakBefore w:val="0"/>
        <w:widowControl w:val="0"/>
        <w:shd w:val="clear" w:color="auto" w:fill="auto"/>
        <w:spacing w:line="360" w:lineRule="auto"/>
        <w:ind w:right="210"/>
        <w:jc w:val="left"/>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lang w:val="en-US" w:eastAsia="zh-CN"/>
        </w:rPr>
        <w:t>二</w:t>
      </w:r>
      <w:r>
        <w:rPr>
          <w:rFonts w:hint="eastAsia" w:ascii="宋体" w:hAnsi="宋体" w:eastAsia="宋体" w:cs="宋体"/>
          <w:b/>
          <w:color w:val="000000"/>
          <w:sz w:val="24"/>
          <w:szCs w:val="24"/>
          <w:highlight w:val="none"/>
          <w:u w:val="none"/>
        </w:rPr>
        <w:t>、报价方式</w:t>
      </w:r>
    </w:p>
    <w:p w14:paraId="4986566A">
      <w:pPr>
        <w:keepNext w:val="0"/>
        <w:keepLines w:val="0"/>
        <w:pageBreakBefore w:val="0"/>
        <w:widowControl w:val="0"/>
        <w:shd w:val="clear" w:color="auto" w:fill="auto"/>
        <w:spacing w:line="360" w:lineRule="auto"/>
        <w:ind w:firstLine="488"/>
        <w:rPr>
          <w:rFonts w:hint="eastAsia" w:ascii="宋体" w:hAnsi="宋体" w:eastAsia="宋体" w:cs="宋体"/>
          <w:color w:val="000000"/>
          <w:spacing w:val="2"/>
          <w:sz w:val="24"/>
          <w:szCs w:val="24"/>
          <w:highlight w:val="none"/>
          <w:u w:val="none"/>
        </w:rPr>
      </w:pPr>
      <w:r>
        <w:rPr>
          <w:rFonts w:hint="eastAsia" w:ascii="宋体" w:hAnsi="宋体" w:eastAsia="宋体" w:cs="宋体"/>
          <w:color w:val="000000"/>
          <w:spacing w:val="2"/>
          <w:sz w:val="24"/>
          <w:szCs w:val="24"/>
          <w:highlight w:val="none"/>
          <w:u w:val="none"/>
          <w:lang w:val="en-US" w:eastAsia="zh-CN"/>
        </w:rPr>
        <w:t>1.</w:t>
      </w:r>
      <w:r>
        <w:rPr>
          <w:rFonts w:hint="eastAsia" w:ascii="宋体" w:hAnsi="宋体" w:eastAsia="宋体" w:cs="宋体"/>
          <w:color w:val="000000"/>
          <w:spacing w:val="2"/>
          <w:sz w:val="24"/>
          <w:szCs w:val="24"/>
          <w:highlight w:val="none"/>
          <w:u w:val="none"/>
        </w:rPr>
        <w:t>本项目报价为</w:t>
      </w:r>
      <w:r>
        <w:rPr>
          <w:rFonts w:hint="eastAsia" w:ascii="宋体" w:hAnsi="宋体" w:cs="宋体"/>
          <w:b/>
          <w:bCs/>
          <w:color w:val="000000"/>
          <w:spacing w:val="2"/>
          <w:sz w:val="24"/>
          <w:szCs w:val="24"/>
          <w:highlight w:val="none"/>
          <w:u w:val="none"/>
          <w:lang w:val="en-US" w:eastAsia="zh-CN"/>
        </w:rPr>
        <w:t>优惠</w:t>
      </w:r>
      <w:r>
        <w:rPr>
          <w:rFonts w:hint="eastAsia" w:ascii="宋体" w:hAnsi="宋体" w:eastAsia="宋体" w:cs="宋体"/>
          <w:b/>
          <w:bCs/>
          <w:color w:val="000000"/>
          <w:spacing w:val="2"/>
          <w:sz w:val="24"/>
          <w:szCs w:val="24"/>
          <w:highlight w:val="none"/>
          <w:u w:val="none"/>
          <w:lang w:val="en-US" w:eastAsia="zh-CN"/>
        </w:rPr>
        <w:t>率</w:t>
      </w:r>
      <w:r>
        <w:rPr>
          <w:rFonts w:hint="eastAsia" w:ascii="宋体" w:hAnsi="宋体" w:eastAsia="宋体" w:cs="宋体"/>
          <w:color w:val="000000"/>
          <w:spacing w:val="2"/>
          <w:sz w:val="24"/>
          <w:szCs w:val="24"/>
          <w:highlight w:val="none"/>
          <w:u w:val="none"/>
        </w:rPr>
        <w:t>，磋商</w:t>
      </w:r>
      <w:r>
        <w:rPr>
          <w:rFonts w:hint="eastAsia" w:ascii="宋体" w:hAnsi="宋体" w:eastAsia="宋体" w:cs="宋体"/>
          <w:color w:val="000000"/>
          <w:spacing w:val="2"/>
          <w:sz w:val="24"/>
          <w:szCs w:val="24"/>
          <w:highlight w:val="none"/>
          <w:u w:val="none"/>
          <w:lang w:val="en-US" w:eastAsia="zh-CN"/>
        </w:rPr>
        <w:t>报价</w:t>
      </w:r>
      <w:r>
        <w:rPr>
          <w:rFonts w:hint="eastAsia" w:ascii="宋体" w:hAnsi="宋体" w:eastAsia="宋体" w:cs="宋体"/>
          <w:color w:val="000000"/>
          <w:spacing w:val="2"/>
          <w:sz w:val="24"/>
          <w:szCs w:val="24"/>
          <w:highlight w:val="none"/>
          <w:u w:val="none"/>
        </w:rPr>
        <w:t>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3A4FB1C7">
      <w:pPr>
        <w:keepNext w:val="0"/>
        <w:keepLines w:val="0"/>
        <w:pageBreakBefore w:val="0"/>
        <w:widowControl w:val="0"/>
        <w:shd w:val="clear" w:color="auto" w:fill="auto"/>
        <w:spacing w:line="360" w:lineRule="auto"/>
        <w:ind w:firstLine="488"/>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rPr>
        <w:t>报价货币为人民币，评审时以人民币为准。</w:t>
      </w:r>
      <w:r>
        <w:rPr>
          <w:rFonts w:hint="eastAsia" w:ascii="宋体" w:hAnsi="宋体" w:eastAsia="宋体" w:cs="宋体"/>
          <w:color w:val="000000"/>
          <w:spacing w:val="2"/>
          <w:sz w:val="24"/>
          <w:szCs w:val="24"/>
          <w:highlight w:val="none"/>
          <w:u w:val="none"/>
          <w:lang w:val="en-US" w:eastAsia="zh-CN"/>
        </w:rPr>
        <w:t xml:space="preserve"> </w:t>
      </w:r>
    </w:p>
    <w:p w14:paraId="6A2BCB3B">
      <w:pPr>
        <w:keepNext w:val="0"/>
        <w:keepLines w:val="0"/>
        <w:pageBreakBefore w:val="0"/>
        <w:widowControl w:val="0"/>
        <w:shd w:val="clear" w:color="auto" w:fill="auto"/>
        <w:spacing w:line="360" w:lineRule="auto"/>
        <w:ind w:firstLine="490"/>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注：报价低于《市场监管部门食品安全抽检监测项目检验费用参考表》收费标准的百分之四十五的</w:t>
      </w:r>
      <w:r>
        <w:rPr>
          <w:rFonts w:hint="eastAsia" w:ascii="宋体" w:hAnsi="宋体" w:cs="宋体"/>
          <w:b/>
          <w:bCs/>
          <w:color w:val="000000"/>
          <w:spacing w:val="2"/>
          <w:sz w:val="24"/>
          <w:szCs w:val="24"/>
          <w:highlight w:val="none"/>
          <w:u w:val="none"/>
          <w:lang w:val="en-US" w:eastAsia="zh-CN"/>
        </w:rPr>
        <w:t>（即优惠率大于百分之五十五的）</w:t>
      </w:r>
      <w:r>
        <w:rPr>
          <w:rFonts w:hint="eastAsia" w:ascii="宋体" w:hAnsi="宋体" w:eastAsia="宋体" w:cs="宋体"/>
          <w:b/>
          <w:bCs/>
          <w:color w:val="000000"/>
          <w:spacing w:val="2"/>
          <w:sz w:val="24"/>
          <w:szCs w:val="24"/>
          <w:highlight w:val="none"/>
          <w:u w:val="none"/>
          <w:lang w:val="en-US" w:eastAsia="zh-CN"/>
        </w:rPr>
        <w:t>，磋商响应文件中需提供书面说明或者相关证明材料，证明其报价合理且不会影响服务质量。</w:t>
      </w:r>
    </w:p>
    <w:p w14:paraId="6114C88B">
      <w:pPr>
        <w:pStyle w:val="499"/>
        <w:keepNext w:val="0"/>
        <w:keepLines w:val="0"/>
        <w:pageBreakBefore w:val="0"/>
        <w:widowControl w:val="0"/>
        <w:shd w:val="clear" w:color="auto" w:fill="auto"/>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2.市场监管部门食品安全抽检监测项目检验费用参考表</w:t>
      </w:r>
      <w:r>
        <w:rPr>
          <w:rFonts w:hint="eastAsia"/>
          <w:b/>
          <w:bCs/>
          <w:color w:val="000000"/>
          <w:highlight w:val="none"/>
          <w:lang w:val="en-US" w:eastAsia="zh-CN"/>
        </w:rPr>
        <w:t>下载链接：</w:t>
      </w:r>
    </w:p>
    <w:p w14:paraId="184DE224">
      <w:pPr>
        <w:pStyle w:val="500"/>
        <w:keepNext w:val="0"/>
        <w:keepLines w:val="0"/>
        <w:pageBreakBefore w:val="0"/>
        <w:shd w:val="clear" w:color="auto" w:fill="auto"/>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链接: https://pan.baidu.com/s/1DHO_aWkVoSZLEkzfhJPJzg</w:t>
      </w:r>
    </w:p>
    <w:p w14:paraId="78642416">
      <w:pPr>
        <w:pStyle w:val="500"/>
        <w:keepNext w:val="0"/>
        <w:keepLines w:val="0"/>
        <w:pageBreakBefore w:val="0"/>
        <w:shd w:val="clear" w:color="auto" w:fill="auto"/>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提取码:za7x </w:t>
      </w:r>
    </w:p>
    <w:p w14:paraId="6D98DB47">
      <w:pPr>
        <w:keepNext w:val="0"/>
        <w:keepLines w:val="0"/>
        <w:pageBreakBefore w:val="0"/>
        <w:widowControl w:val="0"/>
        <w:spacing w:line="360" w:lineRule="auto"/>
        <w:ind w:firstLine="490"/>
        <w:contextualSpacing/>
        <w:outlineLvl w:val="9"/>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注：上述清单中未包含但符合国家相关标准的其他检测项目，供应商可建议采购人进行检测，收费标准为该供应商对外公布的价格。</w:t>
      </w:r>
    </w:p>
    <w:p w14:paraId="5E39B213">
      <w:pPr>
        <w:spacing w:line="360" w:lineRule="auto"/>
        <w:outlineLvl w:val="0"/>
        <w:rPr>
          <w:rFonts w:hint="eastAsia" w:ascii="宋体" w:hAnsi="宋体"/>
          <w:b/>
          <w:bCs/>
          <w:sz w:val="24"/>
        </w:rPr>
        <w:sectPr>
          <w:headerReference r:id="rId6" w:type="default"/>
          <w:footerReference r:id="rId7" w:type="default"/>
          <w:pgSz w:w="11906" w:h="16838"/>
          <w:pgMar w:top="1440" w:right="1800" w:bottom="1440" w:left="1800" w:header="851" w:footer="992" w:gutter="0"/>
          <w:cols w:space="720" w:num="1"/>
          <w:docGrid w:type="lines" w:linePitch="312" w:charSpace="0"/>
        </w:sectPr>
      </w:pPr>
    </w:p>
    <w:p w14:paraId="6D89F80A">
      <w:pPr>
        <w:spacing w:line="360" w:lineRule="auto"/>
        <w:outlineLvl w:val="0"/>
        <w:rPr>
          <w:rFonts w:ascii="宋体" w:hAnsi="宋体"/>
          <w:b/>
          <w:bCs/>
          <w:sz w:val="24"/>
        </w:rPr>
      </w:pPr>
      <w:r>
        <w:rPr>
          <w:rFonts w:hint="eastAsia" w:ascii="宋体" w:hAnsi="宋体"/>
          <w:b/>
          <w:bCs/>
          <w:sz w:val="24"/>
          <w:lang w:val="en-US" w:eastAsia="zh-CN"/>
        </w:rPr>
        <w:t>三</w:t>
      </w:r>
      <w:r>
        <w:rPr>
          <w:rFonts w:hint="eastAsia" w:ascii="宋体" w:hAnsi="宋体"/>
          <w:b/>
          <w:bCs/>
          <w:sz w:val="24"/>
        </w:rPr>
        <w:t>、抽检品种及项目范围</w:t>
      </w:r>
    </w:p>
    <w:p w14:paraId="34C3ADEF">
      <w:pPr>
        <w:keepNext w:val="0"/>
        <w:keepLines w:val="0"/>
        <w:pageBreakBefore w:val="0"/>
        <w:widowControl w:val="0"/>
        <w:kinsoku/>
        <w:wordWrap/>
        <w:overflowPunct/>
        <w:topLinePunct w:val="0"/>
        <w:autoSpaceDE/>
        <w:autoSpaceDN/>
        <w:bidi w:val="0"/>
        <w:adjustRightInd/>
        <w:spacing w:line="360" w:lineRule="auto"/>
        <w:contextualSpacing/>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附表：</w:t>
      </w:r>
    </w:p>
    <w:p w14:paraId="1924C33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（一）抽样和检验要求以《国家食品安全监督抽检实施细则2025年版》为准</w:t>
      </w:r>
    </w:p>
    <w:p w14:paraId="491C856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（二）2025年常州市食品安全监督抽检品种、项目表</w:t>
      </w:r>
    </w:p>
    <w:tbl>
      <w:tblPr>
        <w:tblStyle w:val="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157"/>
        <w:gridCol w:w="1199"/>
        <w:gridCol w:w="1290"/>
        <w:gridCol w:w="1307"/>
        <w:gridCol w:w="4414"/>
        <w:gridCol w:w="4076"/>
      </w:tblGrid>
      <w:tr w14:paraId="006D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tblHeader/>
          <w:jc w:val="center"/>
        </w:trPr>
        <w:tc>
          <w:tcPr>
            <w:tcW w:w="256" w:type="pct"/>
            <w:noWrap w:val="0"/>
            <w:vAlign w:val="center"/>
          </w:tcPr>
          <w:p w14:paraId="2E0CEF1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08" w:type="pct"/>
            <w:noWrap w:val="0"/>
            <w:vAlign w:val="center"/>
          </w:tcPr>
          <w:p w14:paraId="5367889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食品大类</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（一级）</w:t>
            </w:r>
          </w:p>
        </w:tc>
        <w:tc>
          <w:tcPr>
            <w:tcW w:w="423" w:type="pct"/>
            <w:noWrap w:val="0"/>
            <w:vAlign w:val="center"/>
          </w:tcPr>
          <w:p w14:paraId="4BF9712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食品亚类</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（二级）</w:t>
            </w:r>
          </w:p>
        </w:tc>
        <w:tc>
          <w:tcPr>
            <w:tcW w:w="455" w:type="pct"/>
            <w:noWrap w:val="0"/>
            <w:vAlign w:val="center"/>
          </w:tcPr>
          <w:p w14:paraId="2BD0D42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食品品种</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（三级）</w:t>
            </w:r>
          </w:p>
        </w:tc>
        <w:tc>
          <w:tcPr>
            <w:tcW w:w="461" w:type="pct"/>
            <w:noWrap w:val="0"/>
            <w:vAlign w:val="center"/>
          </w:tcPr>
          <w:p w14:paraId="72ED262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食品细类</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（四级）</w:t>
            </w:r>
          </w:p>
        </w:tc>
        <w:tc>
          <w:tcPr>
            <w:tcW w:w="1557" w:type="pct"/>
            <w:noWrap w:val="0"/>
            <w:vAlign w:val="center"/>
          </w:tcPr>
          <w:p w14:paraId="394B0DA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必检项目</w:t>
            </w:r>
          </w:p>
        </w:tc>
        <w:tc>
          <w:tcPr>
            <w:tcW w:w="1438" w:type="pct"/>
            <w:noWrap w:val="0"/>
            <w:vAlign w:val="center"/>
          </w:tcPr>
          <w:p w14:paraId="1DE5B21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可选项目</w:t>
            </w:r>
          </w:p>
        </w:tc>
      </w:tr>
      <w:tr w14:paraId="4C44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752882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08" w:type="pct"/>
            <w:vMerge w:val="restart"/>
            <w:noWrap w:val="0"/>
            <w:vAlign w:val="center"/>
          </w:tcPr>
          <w:p w14:paraId="0B2831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粮食加工品</w:t>
            </w:r>
          </w:p>
        </w:tc>
        <w:tc>
          <w:tcPr>
            <w:tcW w:w="423" w:type="pct"/>
            <w:noWrap w:val="0"/>
            <w:vAlign w:val="center"/>
          </w:tcPr>
          <w:p w14:paraId="65AC29F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小麦粉</w:t>
            </w:r>
          </w:p>
        </w:tc>
        <w:tc>
          <w:tcPr>
            <w:tcW w:w="455" w:type="pct"/>
            <w:noWrap w:val="0"/>
            <w:vAlign w:val="center"/>
          </w:tcPr>
          <w:p w14:paraId="5ADD120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小麦粉</w:t>
            </w:r>
          </w:p>
        </w:tc>
        <w:tc>
          <w:tcPr>
            <w:tcW w:w="461" w:type="pct"/>
            <w:noWrap w:val="0"/>
            <w:vAlign w:val="center"/>
          </w:tcPr>
          <w:p w14:paraId="288721A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小麦粉</w:t>
            </w:r>
          </w:p>
        </w:tc>
        <w:tc>
          <w:tcPr>
            <w:tcW w:w="1557" w:type="pct"/>
            <w:noWrap w:val="0"/>
            <w:vAlign w:val="center"/>
          </w:tcPr>
          <w:p w14:paraId="6069118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镉（以Cd计）、苯并[a]芘、脱氧雪腐镰刀菌烯醇、赭曲霉毒素A</w:t>
            </w:r>
          </w:p>
        </w:tc>
        <w:tc>
          <w:tcPr>
            <w:tcW w:w="1438" w:type="pct"/>
            <w:noWrap w:val="0"/>
            <w:vAlign w:val="center"/>
          </w:tcPr>
          <w:p w14:paraId="7326B18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玉米赤霉烯酮、黄曲霉毒素B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、偶氮甲酰胺、过氧化苯甲酰</w:t>
            </w:r>
          </w:p>
        </w:tc>
      </w:tr>
      <w:tr w14:paraId="5380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09C7AC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6608D0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0B7393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大米</w:t>
            </w:r>
          </w:p>
        </w:tc>
        <w:tc>
          <w:tcPr>
            <w:tcW w:w="455" w:type="pct"/>
            <w:noWrap w:val="0"/>
            <w:vAlign w:val="center"/>
          </w:tcPr>
          <w:p w14:paraId="758485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大米</w:t>
            </w:r>
          </w:p>
        </w:tc>
        <w:tc>
          <w:tcPr>
            <w:tcW w:w="461" w:type="pct"/>
            <w:noWrap w:val="0"/>
            <w:vAlign w:val="center"/>
          </w:tcPr>
          <w:p w14:paraId="42CF86D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大米</w:t>
            </w:r>
          </w:p>
        </w:tc>
        <w:tc>
          <w:tcPr>
            <w:tcW w:w="1557" w:type="pct"/>
            <w:noWrap w:val="0"/>
            <w:vAlign w:val="center"/>
          </w:tcPr>
          <w:p w14:paraId="267AA54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铅（以Pb计）、镉（以Cd计）、黄曲霉毒素B</w:t>
            </w:r>
            <w:r>
              <w:rPr>
                <w:rFonts w:hint="eastAsia" w:ascii="宋体" w:hAnsi="宋体" w:eastAsia="宋体" w:cs="宋体"/>
                <w:i w:val="0"/>
                <w:iCs w:val="0"/>
                <w:color w:val="000000"/>
                <w:kern w:val="0"/>
                <w:sz w:val="21"/>
                <w:szCs w:val="21"/>
                <w:u w:val="none"/>
                <w:vertAlign w:val="subscript"/>
                <w:lang w:val="en-US" w:eastAsia="zh-CN" w:bidi="ar"/>
              </w:rPr>
              <w:t>1</w:t>
            </w:r>
          </w:p>
        </w:tc>
        <w:tc>
          <w:tcPr>
            <w:tcW w:w="1438" w:type="pct"/>
            <w:noWrap w:val="0"/>
            <w:vAlign w:val="center"/>
          </w:tcPr>
          <w:p w14:paraId="13EC40B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无机砷（以As计）、苯并[a]芘、赭曲霉毒素A</w:t>
            </w:r>
          </w:p>
        </w:tc>
      </w:tr>
      <w:tr w14:paraId="407A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55243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C52969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2EB169D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挂面</w:t>
            </w:r>
          </w:p>
        </w:tc>
        <w:tc>
          <w:tcPr>
            <w:tcW w:w="455" w:type="pct"/>
            <w:noWrap w:val="0"/>
            <w:vAlign w:val="center"/>
          </w:tcPr>
          <w:p w14:paraId="1F38AD3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挂面</w:t>
            </w:r>
          </w:p>
        </w:tc>
        <w:tc>
          <w:tcPr>
            <w:tcW w:w="461" w:type="pct"/>
            <w:noWrap w:val="0"/>
            <w:vAlign w:val="center"/>
          </w:tcPr>
          <w:p w14:paraId="4D8CFE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挂面</w:t>
            </w:r>
          </w:p>
        </w:tc>
        <w:tc>
          <w:tcPr>
            <w:tcW w:w="1557" w:type="pct"/>
            <w:noWrap w:val="0"/>
            <w:vAlign w:val="center"/>
          </w:tcPr>
          <w:p w14:paraId="7C1A2BC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铅（以Pb计）、合成着色剂（柠檬黄、日落黄）</w:t>
            </w:r>
          </w:p>
        </w:tc>
        <w:tc>
          <w:tcPr>
            <w:tcW w:w="1438" w:type="pct"/>
            <w:noWrap w:val="0"/>
            <w:vAlign w:val="center"/>
          </w:tcPr>
          <w:p w14:paraId="1BACE9A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、脱氢乙酸及其钠盐（以脱氢乙酸计）</w:t>
            </w:r>
          </w:p>
        </w:tc>
      </w:tr>
      <w:tr w14:paraId="5790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EF4A12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F11AB8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5FC82E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其他粮食加工品</w:t>
            </w:r>
          </w:p>
        </w:tc>
        <w:tc>
          <w:tcPr>
            <w:tcW w:w="455" w:type="pct"/>
            <w:noWrap w:val="0"/>
            <w:vAlign w:val="center"/>
          </w:tcPr>
          <w:p w14:paraId="56CF11F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谷物加工品</w:t>
            </w:r>
          </w:p>
        </w:tc>
        <w:tc>
          <w:tcPr>
            <w:tcW w:w="461" w:type="pct"/>
            <w:noWrap w:val="0"/>
            <w:vAlign w:val="center"/>
          </w:tcPr>
          <w:p w14:paraId="6699FD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谷物加工品</w:t>
            </w:r>
          </w:p>
        </w:tc>
        <w:tc>
          <w:tcPr>
            <w:tcW w:w="1557" w:type="pct"/>
            <w:noWrap w:val="0"/>
            <w:vAlign w:val="center"/>
          </w:tcPr>
          <w:p w14:paraId="78DF336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铅（以Pb计）、黄曲霉毒素B</w:t>
            </w:r>
            <w:r>
              <w:rPr>
                <w:rFonts w:hint="eastAsia" w:ascii="宋体" w:hAnsi="宋体" w:eastAsia="宋体" w:cs="宋体"/>
                <w:i w:val="0"/>
                <w:iCs w:val="0"/>
                <w:color w:val="000000"/>
                <w:kern w:val="0"/>
                <w:sz w:val="21"/>
                <w:szCs w:val="21"/>
                <w:u w:val="none"/>
                <w:vertAlign w:val="subscript"/>
                <w:lang w:val="en-US" w:eastAsia="zh-CN" w:bidi="ar"/>
              </w:rPr>
              <w:t>1</w:t>
            </w:r>
          </w:p>
        </w:tc>
        <w:tc>
          <w:tcPr>
            <w:tcW w:w="1438" w:type="pct"/>
            <w:noWrap w:val="0"/>
            <w:vAlign w:val="center"/>
          </w:tcPr>
          <w:p w14:paraId="20F46C8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镉（以Cd计）、赭曲霉毒素A</w:t>
            </w:r>
          </w:p>
        </w:tc>
      </w:tr>
      <w:tr w14:paraId="6DC1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6B0CC6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B784CD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7F3B4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0C5557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谷物碾磨加工品</w:t>
            </w:r>
          </w:p>
        </w:tc>
        <w:tc>
          <w:tcPr>
            <w:tcW w:w="461" w:type="pct"/>
            <w:noWrap w:val="0"/>
            <w:vAlign w:val="center"/>
          </w:tcPr>
          <w:p w14:paraId="5EE85A4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玉米粉</w:t>
            </w:r>
          </w:p>
          <w:p w14:paraId="4C0DDC5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（片、渣）</w:t>
            </w:r>
          </w:p>
        </w:tc>
        <w:tc>
          <w:tcPr>
            <w:tcW w:w="1557" w:type="pct"/>
            <w:noWrap w:val="0"/>
            <w:vAlign w:val="center"/>
          </w:tcPr>
          <w:p w14:paraId="7ED5581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苯并[a]芘、黄曲霉毒素B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、脱氧雪腐镰刀菌烯醇</w:t>
            </w:r>
          </w:p>
        </w:tc>
        <w:tc>
          <w:tcPr>
            <w:tcW w:w="1438" w:type="pct"/>
            <w:noWrap w:val="0"/>
            <w:vAlign w:val="center"/>
          </w:tcPr>
          <w:p w14:paraId="2367203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赭曲霉毒素A、玉米赤霉烯酮</w:t>
            </w:r>
          </w:p>
        </w:tc>
      </w:tr>
      <w:tr w14:paraId="22D4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5B9307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0BEFD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F595F5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7281A1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83F9A2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米粉</w:t>
            </w:r>
          </w:p>
        </w:tc>
        <w:tc>
          <w:tcPr>
            <w:tcW w:w="1557" w:type="pct"/>
            <w:noWrap w:val="0"/>
            <w:vAlign w:val="center"/>
          </w:tcPr>
          <w:p w14:paraId="7FE6E54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铅（以Pb计）、镉（以Cd计）、苯并[a]芘</w:t>
            </w:r>
          </w:p>
        </w:tc>
        <w:tc>
          <w:tcPr>
            <w:tcW w:w="1438" w:type="pct"/>
            <w:noWrap w:val="0"/>
            <w:vAlign w:val="center"/>
          </w:tcPr>
          <w:p w14:paraId="6EB95A9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总汞（以Hg计）、无机砷（以As计）</w:t>
            </w:r>
          </w:p>
        </w:tc>
      </w:tr>
      <w:tr w14:paraId="093C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89B5B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143F0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7AC996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5F8F8C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E291EA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其他谷物碾磨加工品</w:t>
            </w:r>
          </w:p>
        </w:tc>
        <w:tc>
          <w:tcPr>
            <w:tcW w:w="1557" w:type="pct"/>
            <w:noWrap w:val="0"/>
            <w:vAlign w:val="center"/>
          </w:tcPr>
          <w:p w14:paraId="5C66745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铅（以Pb计）、赭曲霉毒素A</w:t>
            </w:r>
          </w:p>
        </w:tc>
        <w:tc>
          <w:tcPr>
            <w:tcW w:w="1438" w:type="pct"/>
            <w:noWrap w:val="0"/>
            <w:vAlign w:val="center"/>
          </w:tcPr>
          <w:p w14:paraId="4169B5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铬（以Cr计）</w:t>
            </w:r>
          </w:p>
        </w:tc>
      </w:tr>
      <w:tr w14:paraId="261C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7F803F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98E55A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CF5880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77CF3B7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谷物粉类制成品</w:t>
            </w:r>
          </w:p>
        </w:tc>
        <w:tc>
          <w:tcPr>
            <w:tcW w:w="461" w:type="pct"/>
            <w:noWrap w:val="0"/>
            <w:vAlign w:val="center"/>
          </w:tcPr>
          <w:p w14:paraId="0727C24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生湿面制品</w:t>
            </w:r>
          </w:p>
        </w:tc>
        <w:tc>
          <w:tcPr>
            <w:tcW w:w="1557" w:type="pct"/>
            <w:noWrap w:val="0"/>
            <w:vAlign w:val="center"/>
          </w:tcPr>
          <w:p w14:paraId="361C4A9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4473448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铅（以Pb计）、二氧化硫残留量、合成着色剂（柠檬黄）</w:t>
            </w:r>
          </w:p>
        </w:tc>
      </w:tr>
      <w:tr w14:paraId="3879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C13364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5F1CBF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E174AB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5D2051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2DE522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发酵面制品</w:t>
            </w:r>
          </w:p>
        </w:tc>
        <w:tc>
          <w:tcPr>
            <w:tcW w:w="1557" w:type="pct"/>
            <w:noWrap w:val="0"/>
            <w:vAlign w:val="center"/>
          </w:tcPr>
          <w:p w14:paraId="597F031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7BB81D8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糖精钠（以糖精计）、甜蜜素（以环己基氨基磺酸计）、安赛蜜、合成着色剂（柠檬黄、胭脂红）、菌落总数、大肠菌群</w:t>
            </w:r>
          </w:p>
        </w:tc>
      </w:tr>
      <w:tr w14:paraId="7911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9CF6C7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4C4B6D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419FB8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CC24D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120AD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米粉制品</w:t>
            </w:r>
          </w:p>
        </w:tc>
        <w:tc>
          <w:tcPr>
            <w:tcW w:w="1557" w:type="pct"/>
            <w:noWrap w:val="0"/>
            <w:vAlign w:val="center"/>
          </w:tcPr>
          <w:p w14:paraId="043AB8D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5ECF90F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二氧化硫残留量、合成着色剂（柠檬黄、日落黄、喹啉黄、亮蓝、靛蓝）、菌落总数、大肠菌群</w:t>
            </w:r>
          </w:p>
        </w:tc>
      </w:tr>
      <w:tr w14:paraId="1687C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66AA51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33816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185B10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794809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1FE26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其他谷物粉类制成品</w:t>
            </w:r>
          </w:p>
        </w:tc>
        <w:tc>
          <w:tcPr>
            <w:tcW w:w="1557" w:type="pct"/>
            <w:noWrap w:val="0"/>
            <w:vAlign w:val="center"/>
          </w:tcPr>
          <w:p w14:paraId="2BC4DAD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21DA0CA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、菌落总数、大肠菌群</w:t>
            </w:r>
          </w:p>
        </w:tc>
      </w:tr>
      <w:tr w14:paraId="6804C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3B9FFC5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08" w:type="pct"/>
            <w:vMerge w:val="restart"/>
            <w:noWrap w:val="0"/>
            <w:vAlign w:val="center"/>
          </w:tcPr>
          <w:p w14:paraId="67F5D14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食用油、油脂及其制品</w:t>
            </w:r>
          </w:p>
        </w:tc>
        <w:tc>
          <w:tcPr>
            <w:tcW w:w="423" w:type="pct"/>
            <w:vMerge w:val="restart"/>
            <w:noWrap w:val="0"/>
            <w:vAlign w:val="center"/>
          </w:tcPr>
          <w:p w14:paraId="672B88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食用植物油</w:t>
            </w:r>
          </w:p>
        </w:tc>
        <w:tc>
          <w:tcPr>
            <w:tcW w:w="455" w:type="pct"/>
            <w:vMerge w:val="restart"/>
            <w:noWrap w:val="0"/>
            <w:vAlign w:val="center"/>
          </w:tcPr>
          <w:p w14:paraId="20F54B3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食用植物油</w:t>
            </w:r>
          </w:p>
        </w:tc>
        <w:tc>
          <w:tcPr>
            <w:tcW w:w="461" w:type="pct"/>
            <w:noWrap w:val="0"/>
            <w:vAlign w:val="center"/>
          </w:tcPr>
          <w:p w14:paraId="6A4EB9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花生油</w:t>
            </w:r>
          </w:p>
        </w:tc>
        <w:tc>
          <w:tcPr>
            <w:tcW w:w="1557" w:type="pct"/>
            <w:noWrap w:val="0"/>
            <w:vAlign w:val="center"/>
          </w:tcPr>
          <w:p w14:paraId="757E67F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酸值/酸价、过氧化值、黄曲霉毒素B</w:t>
            </w:r>
            <w:r>
              <w:rPr>
                <w:rFonts w:hint="eastAsia" w:ascii="宋体" w:hAnsi="宋体" w:eastAsia="宋体" w:cs="宋体"/>
                <w:i w:val="0"/>
                <w:iCs w:val="0"/>
                <w:color w:val="000000"/>
                <w:kern w:val="0"/>
                <w:sz w:val="21"/>
                <w:szCs w:val="21"/>
                <w:u w:val="none"/>
                <w:vertAlign w:val="subscript"/>
                <w:lang w:val="en-US" w:eastAsia="zh-CN" w:bidi="ar"/>
              </w:rPr>
              <w:t>1</w:t>
            </w:r>
          </w:p>
        </w:tc>
        <w:tc>
          <w:tcPr>
            <w:tcW w:w="1438" w:type="pct"/>
            <w:noWrap w:val="0"/>
            <w:vAlign w:val="center"/>
          </w:tcPr>
          <w:p w14:paraId="3171BB9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苯并[a]芘、溶剂残留量、特丁基对苯二酚（TBHQ）</w:t>
            </w:r>
          </w:p>
        </w:tc>
      </w:tr>
      <w:tr w14:paraId="5F83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129DA8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98182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425071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34AD22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E62709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玉米油</w:t>
            </w:r>
          </w:p>
        </w:tc>
        <w:tc>
          <w:tcPr>
            <w:tcW w:w="1557" w:type="pct"/>
            <w:noWrap w:val="0"/>
            <w:vAlign w:val="center"/>
          </w:tcPr>
          <w:p w14:paraId="0C5986C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酸值/酸价、过氧化值、黄曲霉毒素B</w:t>
            </w:r>
            <w:r>
              <w:rPr>
                <w:rFonts w:hint="eastAsia" w:ascii="宋体" w:hAnsi="宋体" w:eastAsia="宋体" w:cs="宋体"/>
                <w:i w:val="0"/>
                <w:iCs w:val="0"/>
                <w:color w:val="000000"/>
                <w:kern w:val="0"/>
                <w:sz w:val="21"/>
                <w:szCs w:val="21"/>
                <w:u w:val="none"/>
                <w:vertAlign w:val="subscript"/>
                <w:lang w:val="en-US" w:eastAsia="zh-CN" w:bidi="ar"/>
              </w:rPr>
              <w:t>1</w:t>
            </w:r>
          </w:p>
        </w:tc>
        <w:tc>
          <w:tcPr>
            <w:tcW w:w="1438" w:type="pct"/>
            <w:noWrap w:val="0"/>
            <w:vAlign w:val="center"/>
          </w:tcPr>
          <w:p w14:paraId="506BE1D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苯并[a]芘、特丁基对苯二酚（TBHQ）</w:t>
            </w:r>
          </w:p>
        </w:tc>
      </w:tr>
      <w:tr w14:paraId="3502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0A8CE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2FB208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49F17F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2D69B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D5D1F3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芝麻油</w:t>
            </w:r>
          </w:p>
        </w:tc>
        <w:tc>
          <w:tcPr>
            <w:tcW w:w="1557" w:type="pct"/>
            <w:noWrap w:val="0"/>
            <w:vAlign w:val="center"/>
          </w:tcPr>
          <w:p w14:paraId="1CB93CC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酸值/酸价、过氧化值、苯并[a]芘</w:t>
            </w:r>
          </w:p>
        </w:tc>
        <w:tc>
          <w:tcPr>
            <w:tcW w:w="1438" w:type="pct"/>
            <w:noWrap w:val="0"/>
            <w:vAlign w:val="center"/>
          </w:tcPr>
          <w:p w14:paraId="14139B0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溶剂残留量、乙基麦芽酚</w:t>
            </w:r>
          </w:p>
        </w:tc>
      </w:tr>
      <w:tr w14:paraId="07D8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C8C09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408" w:type="pct"/>
            <w:vMerge w:val="restart"/>
            <w:noWrap w:val="0"/>
            <w:vAlign w:val="center"/>
          </w:tcPr>
          <w:p w14:paraId="515A4D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食用油、油脂及其制品</w:t>
            </w:r>
          </w:p>
        </w:tc>
        <w:tc>
          <w:tcPr>
            <w:tcW w:w="423" w:type="pct"/>
            <w:vMerge w:val="restart"/>
            <w:noWrap w:val="0"/>
            <w:vAlign w:val="center"/>
          </w:tcPr>
          <w:p w14:paraId="53E968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食用植物油</w:t>
            </w:r>
          </w:p>
        </w:tc>
        <w:tc>
          <w:tcPr>
            <w:tcW w:w="455" w:type="pct"/>
            <w:vMerge w:val="restart"/>
            <w:noWrap w:val="0"/>
            <w:vAlign w:val="center"/>
          </w:tcPr>
          <w:p w14:paraId="07DDD4C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食用植物油</w:t>
            </w:r>
          </w:p>
        </w:tc>
        <w:tc>
          <w:tcPr>
            <w:tcW w:w="461" w:type="pct"/>
            <w:noWrap w:val="0"/>
            <w:vAlign w:val="center"/>
          </w:tcPr>
          <w:p w14:paraId="2DFCA14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橄榄油、油橄榄果渣油</w:t>
            </w:r>
          </w:p>
        </w:tc>
        <w:tc>
          <w:tcPr>
            <w:tcW w:w="1557" w:type="pct"/>
            <w:noWrap w:val="0"/>
            <w:vAlign w:val="center"/>
          </w:tcPr>
          <w:p w14:paraId="4BA9BE0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酸值/酸价、过氧化值、溶剂残留量</w:t>
            </w:r>
          </w:p>
        </w:tc>
        <w:tc>
          <w:tcPr>
            <w:tcW w:w="1438" w:type="pct"/>
            <w:noWrap w:val="0"/>
            <w:vAlign w:val="center"/>
          </w:tcPr>
          <w:p w14:paraId="013ADBB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特丁基对苯二酚（TBHQ）</w:t>
            </w:r>
          </w:p>
        </w:tc>
      </w:tr>
      <w:tr w14:paraId="5A98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213855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73B5B54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0050AE9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continue"/>
            <w:noWrap w:val="0"/>
            <w:vAlign w:val="center"/>
          </w:tcPr>
          <w:p w14:paraId="3EC396A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61" w:type="pct"/>
            <w:noWrap w:val="0"/>
            <w:vAlign w:val="center"/>
          </w:tcPr>
          <w:p w14:paraId="3619DD8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菜籽油</w:t>
            </w:r>
          </w:p>
        </w:tc>
        <w:tc>
          <w:tcPr>
            <w:tcW w:w="1557" w:type="pct"/>
            <w:noWrap w:val="0"/>
            <w:vAlign w:val="center"/>
          </w:tcPr>
          <w:p w14:paraId="63933F3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酸值/酸价、过氧化值、铅（以Pb计）、苯并[a]芘</w:t>
            </w:r>
          </w:p>
        </w:tc>
        <w:tc>
          <w:tcPr>
            <w:tcW w:w="1438" w:type="pct"/>
            <w:noWrap w:val="0"/>
            <w:vAlign w:val="center"/>
          </w:tcPr>
          <w:p w14:paraId="60D4CA1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溶剂残留量、特丁基对苯二酚（TBHQ）、乙基麦芽酚</w:t>
            </w:r>
          </w:p>
        </w:tc>
      </w:tr>
      <w:tr w14:paraId="3338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0C0283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CB3E8C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501A62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8DF7E7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59D4649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大豆油</w:t>
            </w:r>
          </w:p>
        </w:tc>
        <w:tc>
          <w:tcPr>
            <w:tcW w:w="1557" w:type="pct"/>
            <w:noWrap w:val="0"/>
            <w:vAlign w:val="center"/>
          </w:tcPr>
          <w:p w14:paraId="4DE5C9F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酸值/酸价、过氧化值、苯并[a]芘</w:t>
            </w:r>
          </w:p>
        </w:tc>
        <w:tc>
          <w:tcPr>
            <w:tcW w:w="1438" w:type="pct"/>
            <w:noWrap w:val="0"/>
            <w:vAlign w:val="center"/>
          </w:tcPr>
          <w:p w14:paraId="51472AB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溶剂残留量、特丁基对苯二酚（TBHQ）</w:t>
            </w:r>
          </w:p>
        </w:tc>
      </w:tr>
      <w:tr w14:paraId="578E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6C8AB7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33932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0C9424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5260A3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C4582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食用植物调和油</w:t>
            </w:r>
          </w:p>
        </w:tc>
        <w:tc>
          <w:tcPr>
            <w:tcW w:w="1557" w:type="pct"/>
            <w:noWrap w:val="0"/>
            <w:vAlign w:val="center"/>
          </w:tcPr>
          <w:p w14:paraId="6B18BA0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酸价、过氧化值、溶剂残留量</w:t>
            </w:r>
          </w:p>
        </w:tc>
        <w:tc>
          <w:tcPr>
            <w:tcW w:w="1438" w:type="pct"/>
            <w:noWrap w:val="0"/>
            <w:vAlign w:val="center"/>
          </w:tcPr>
          <w:p w14:paraId="47E73E2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苯并[a]芘、特丁基对苯二酚（TBHQ）、乙基麦芽酚</w:t>
            </w:r>
          </w:p>
        </w:tc>
      </w:tr>
      <w:tr w14:paraId="214B7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3A050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B28A07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6F727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299A62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5C513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油茶籽油</w:t>
            </w:r>
          </w:p>
        </w:tc>
        <w:tc>
          <w:tcPr>
            <w:tcW w:w="1557" w:type="pct"/>
            <w:noWrap w:val="0"/>
            <w:vAlign w:val="center"/>
          </w:tcPr>
          <w:p w14:paraId="0727C88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酸值/酸价、过氧化值、溶剂残留量</w:t>
            </w:r>
          </w:p>
        </w:tc>
        <w:tc>
          <w:tcPr>
            <w:tcW w:w="1438" w:type="pct"/>
            <w:noWrap w:val="0"/>
            <w:vAlign w:val="center"/>
          </w:tcPr>
          <w:p w14:paraId="0AF37F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铅（以Pb计）、苯并[a]芘、特丁基对苯二酚（TBHQ）</w:t>
            </w:r>
          </w:p>
        </w:tc>
      </w:tr>
      <w:tr w14:paraId="3646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65A4C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21490F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2FF69C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3EF35D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1DE860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其他食用植物油</w:t>
            </w:r>
          </w:p>
        </w:tc>
        <w:tc>
          <w:tcPr>
            <w:tcW w:w="1557" w:type="pct"/>
            <w:noWrap w:val="0"/>
            <w:vAlign w:val="center"/>
          </w:tcPr>
          <w:p w14:paraId="43C154F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酸值/酸价、过氧化值</w:t>
            </w:r>
          </w:p>
        </w:tc>
        <w:tc>
          <w:tcPr>
            <w:tcW w:w="1438" w:type="pct"/>
            <w:noWrap w:val="0"/>
            <w:vAlign w:val="center"/>
          </w:tcPr>
          <w:p w14:paraId="44E5CB5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苯并[a]芘、溶剂残留量、特丁基对苯二酚（TBHQ）</w:t>
            </w:r>
          </w:p>
        </w:tc>
      </w:tr>
      <w:tr w14:paraId="5C0A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5B4D1F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6F756F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1809382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食用动物油脂</w:t>
            </w:r>
          </w:p>
        </w:tc>
        <w:tc>
          <w:tcPr>
            <w:tcW w:w="455" w:type="pct"/>
            <w:noWrap w:val="0"/>
            <w:vAlign w:val="center"/>
          </w:tcPr>
          <w:p w14:paraId="1A20A8D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食用动物油脂</w:t>
            </w:r>
          </w:p>
        </w:tc>
        <w:tc>
          <w:tcPr>
            <w:tcW w:w="461" w:type="pct"/>
            <w:noWrap w:val="0"/>
            <w:vAlign w:val="center"/>
          </w:tcPr>
          <w:p w14:paraId="6BBDB7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食用动物油脂</w:t>
            </w:r>
          </w:p>
        </w:tc>
        <w:tc>
          <w:tcPr>
            <w:tcW w:w="1557" w:type="pct"/>
            <w:noWrap w:val="0"/>
            <w:vAlign w:val="center"/>
          </w:tcPr>
          <w:p w14:paraId="0719AD4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酸价、过氧化值</w:t>
            </w:r>
          </w:p>
        </w:tc>
        <w:tc>
          <w:tcPr>
            <w:tcW w:w="1438" w:type="pct"/>
            <w:noWrap w:val="0"/>
            <w:vAlign w:val="center"/>
          </w:tcPr>
          <w:p w14:paraId="76254B1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丙二醛、苯并[a]芘</w:t>
            </w:r>
          </w:p>
        </w:tc>
      </w:tr>
      <w:tr w14:paraId="5997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DD71B4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662FCC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653D578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食用油脂制品</w:t>
            </w:r>
          </w:p>
        </w:tc>
        <w:tc>
          <w:tcPr>
            <w:tcW w:w="455" w:type="pct"/>
            <w:noWrap w:val="0"/>
            <w:vAlign w:val="center"/>
          </w:tcPr>
          <w:p w14:paraId="60C4C0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食用油脂制品</w:t>
            </w:r>
          </w:p>
        </w:tc>
        <w:tc>
          <w:tcPr>
            <w:tcW w:w="461" w:type="pct"/>
            <w:noWrap w:val="0"/>
            <w:vAlign w:val="center"/>
          </w:tcPr>
          <w:p w14:paraId="517FBF3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食用油脂制品</w:t>
            </w:r>
          </w:p>
        </w:tc>
        <w:tc>
          <w:tcPr>
            <w:tcW w:w="1557" w:type="pct"/>
            <w:noWrap w:val="0"/>
            <w:vAlign w:val="center"/>
          </w:tcPr>
          <w:p w14:paraId="57220E9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酸价（以脂肪计）、过氧化值（以脂肪计）</w:t>
            </w:r>
          </w:p>
        </w:tc>
        <w:tc>
          <w:tcPr>
            <w:tcW w:w="1438" w:type="pct"/>
            <w:noWrap w:val="0"/>
            <w:vAlign w:val="center"/>
          </w:tcPr>
          <w:p w14:paraId="491CBC0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大肠菌群、霉菌</w:t>
            </w:r>
          </w:p>
        </w:tc>
      </w:tr>
      <w:tr w14:paraId="17D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114EE0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08" w:type="pct"/>
            <w:vMerge w:val="restart"/>
            <w:noWrap w:val="0"/>
            <w:vAlign w:val="center"/>
          </w:tcPr>
          <w:p w14:paraId="4E4078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调味品</w:t>
            </w:r>
          </w:p>
        </w:tc>
        <w:tc>
          <w:tcPr>
            <w:tcW w:w="423" w:type="pct"/>
            <w:noWrap w:val="0"/>
            <w:vAlign w:val="center"/>
          </w:tcPr>
          <w:p w14:paraId="6D174A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酱油</w:t>
            </w:r>
          </w:p>
        </w:tc>
        <w:tc>
          <w:tcPr>
            <w:tcW w:w="455" w:type="pct"/>
            <w:noWrap w:val="0"/>
            <w:vAlign w:val="center"/>
          </w:tcPr>
          <w:p w14:paraId="2B04B1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酱油</w:t>
            </w:r>
          </w:p>
        </w:tc>
        <w:tc>
          <w:tcPr>
            <w:tcW w:w="461" w:type="pct"/>
            <w:noWrap w:val="0"/>
            <w:vAlign w:val="center"/>
          </w:tcPr>
          <w:p w14:paraId="78B937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酱油</w:t>
            </w:r>
          </w:p>
        </w:tc>
        <w:tc>
          <w:tcPr>
            <w:tcW w:w="1557" w:type="pct"/>
            <w:noWrap w:val="0"/>
            <w:vAlign w:val="center"/>
          </w:tcPr>
          <w:p w14:paraId="6167DAD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氨基酸态氮、铵盐（以占氨基酸态氮的百分比计）、苯甲酸及其钠盐（以苯甲酸计）、山梨酸及其钾盐（以山梨酸计）、脱氢乙酸及其钠盐（以脱氢乙酸计）、菌落总数、大肠菌群</w:t>
            </w:r>
          </w:p>
        </w:tc>
        <w:tc>
          <w:tcPr>
            <w:tcW w:w="1438" w:type="pct"/>
            <w:noWrap w:val="0"/>
            <w:vAlign w:val="center"/>
          </w:tcPr>
          <w:p w14:paraId="4F5E53D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全氮（以氮计）、对羟基苯甲酸酯类及其钠盐（以对羟基苯甲酸计）、防腐剂混合使用时各自用量占其最大使用量的比例之和、糖精钠（以糖精计）、三氯蔗糖、甜蜜素（以环己基氨基磺酸计）</w:t>
            </w:r>
          </w:p>
        </w:tc>
      </w:tr>
      <w:tr w14:paraId="6FFC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0E507B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8A3CD7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7CD3F4D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食醋</w:t>
            </w:r>
          </w:p>
        </w:tc>
        <w:tc>
          <w:tcPr>
            <w:tcW w:w="455" w:type="pct"/>
            <w:noWrap w:val="0"/>
            <w:vAlign w:val="center"/>
          </w:tcPr>
          <w:p w14:paraId="06DE6E3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食醋</w:t>
            </w:r>
          </w:p>
        </w:tc>
        <w:tc>
          <w:tcPr>
            <w:tcW w:w="461" w:type="pct"/>
            <w:noWrap w:val="0"/>
            <w:vAlign w:val="center"/>
          </w:tcPr>
          <w:p w14:paraId="3B7F1D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食醋</w:t>
            </w:r>
          </w:p>
        </w:tc>
        <w:tc>
          <w:tcPr>
            <w:tcW w:w="1557" w:type="pct"/>
            <w:noWrap w:val="0"/>
            <w:vAlign w:val="center"/>
          </w:tcPr>
          <w:p w14:paraId="6951EA3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总酸（以乙酸计）、苯甲酸及其钠盐（以苯甲酸计）、山梨酸及其钾盐（以山梨酸计）、脱氢乙酸及其钠盐（以脱氢乙酸计）、菌落总数</w:t>
            </w:r>
          </w:p>
        </w:tc>
        <w:tc>
          <w:tcPr>
            <w:tcW w:w="1438" w:type="pct"/>
            <w:noWrap w:val="0"/>
            <w:vAlign w:val="center"/>
          </w:tcPr>
          <w:p w14:paraId="4EEBB3D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不挥发酸（以乳酸计）、对羟基苯甲酸酯类及其钠盐（以对羟基苯甲酸计）、防腐剂混合使用时各自用量占其最大使用量的比例之和、糖精钠（以糖精计）、三氯蔗糖、甜蜜素（以环己基氨基磺酸计）</w:t>
            </w:r>
          </w:p>
        </w:tc>
      </w:tr>
      <w:tr w14:paraId="3A406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74AFFF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EFC989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noWrap w:val="0"/>
            <w:vAlign w:val="center"/>
          </w:tcPr>
          <w:p w14:paraId="217826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酱类</w:t>
            </w:r>
          </w:p>
        </w:tc>
        <w:tc>
          <w:tcPr>
            <w:tcW w:w="455" w:type="pct"/>
            <w:noWrap w:val="0"/>
            <w:vAlign w:val="center"/>
          </w:tcPr>
          <w:p w14:paraId="5390356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酿造酱</w:t>
            </w:r>
          </w:p>
        </w:tc>
        <w:tc>
          <w:tcPr>
            <w:tcW w:w="461" w:type="pct"/>
            <w:noWrap w:val="0"/>
            <w:vAlign w:val="center"/>
          </w:tcPr>
          <w:p w14:paraId="2FEE5BA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黄豆酱、甜面酱等</w:t>
            </w:r>
          </w:p>
        </w:tc>
        <w:tc>
          <w:tcPr>
            <w:tcW w:w="1557" w:type="pct"/>
            <w:noWrap w:val="0"/>
            <w:vAlign w:val="center"/>
          </w:tcPr>
          <w:p w14:paraId="35E746D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氨基酸态氮、苯甲酸及其钠盐（以苯甲酸计）、山梨酸及其钾盐（以山梨酸计）、脱氢乙酸及其钠盐（以脱氢乙酸计）、大肠菌群</w:t>
            </w:r>
          </w:p>
        </w:tc>
        <w:tc>
          <w:tcPr>
            <w:tcW w:w="1438" w:type="pct"/>
            <w:noWrap w:val="0"/>
            <w:vAlign w:val="center"/>
          </w:tcPr>
          <w:p w14:paraId="120A436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、防腐剂混合使用时各自用量占其最大使用量的比例之和、糖精钠（以糖精计）、三氯蔗糖、甜蜜素（以环己基氨基磺酸计）、安赛蜜</w:t>
            </w:r>
          </w:p>
        </w:tc>
      </w:tr>
      <w:tr w14:paraId="1006F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53EF03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5D5E87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035E22A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调味料酒</w:t>
            </w:r>
          </w:p>
        </w:tc>
        <w:tc>
          <w:tcPr>
            <w:tcW w:w="455" w:type="pct"/>
            <w:noWrap w:val="0"/>
            <w:vAlign w:val="center"/>
          </w:tcPr>
          <w:p w14:paraId="480F16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调味料酒</w:t>
            </w:r>
          </w:p>
        </w:tc>
        <w:tc>
          <w:tcPr>
            <w:tcW w:w="461" w:type="pct"/>
            <w:noWrap w:val="0"/>
            <w:vAlign w:val="center"/>
          </w:tcPr>
          <w:p w14:paraId="239637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料酒</w:t>
            </w:r>
          </w:p>
        </w:tc>
        <w:tc>
          <w:tcPr>
            <w:tcW w:w="1557" w:type="pct"/>
            <w:noWrap w:val="0"/>
            <w:vAlign w:val="center"/>
          </w:tcPr>
          <w:p w14:paraId="0B41DFF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氨基酸态氮（以氮计）、苯甲酸及其钠盐（以苯甲酸计）、山梨酸及其钾盐（以山梨酸计）、脱氢乙酸及其钠盐（以脱氢乙酸计）</w:t>
            </w:r>
          </w:p>
        </w:tc>
        <w:tc>
          <w:tcPr>
            <w:tcW w:w="1438" w:type="pct"/>
            <w:noWrap w:val="0"/>
            <w:vAlign w:val="center"/>
          </w:tcPr>
          <w:p w14:paraId="4287A69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甜蜜素（以环己基氨基磺酸计）、三氯蔗糖</w:t>
            </w:r>
          </w:p>
        </w:tc>
      </w:tr>
      <w:tr w14:paraId="176B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3F7604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FA8856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2D451B8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香辛料类</w:t>
            </w:r>
          </w:p>
        </w:tc>
        <w:tc>
          <w:tcPr>
            <w:tcW w:w="455" w:type="pct"/>
            <w:vMerge w:val="restart"/>
            <w:noWrap w:val="0"/>
            <w:vAlign w:val="center"/>
          </w:tcPr>
          <w:p w14:paraId="512B1EC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香辛料类</w:t>
            </w:r>
          </w:p>
        </w:tc>
        <w:tc>
          <w:tcPr>
            <w:tcW w:w="461" w:type="pct"/>
            <w:noWrap w:val="0"/>
            <w:vAlign w:val="center"/>
          </w:tcPr>
          <w:p w14:paraId="4DD5BD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香辛料调味油</w:t>
            </w:r>
          </w:p>
        </w:tc>
        <w:tc>
          <w:tcPr>
            <w:tcW w:w="1557" w:type="pct"/>
            <w:noWrap w:val="0"/>
            <w:vAlign w:val="center"/>
          </w:tcPr>
          <w:p w14:paraId="29095E2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酸价/酸值、过氧化值</w:t>
            </w:r>
          </w:p>
        </w:tc>
        <w:tc>
          <w:tcPr>
            <w:tcW w:w="1438" w:type="pct"/>
            <w:noWrap w:val="0"/>
            <w:vAlign w:val="center"/>
          </w:tcPr>
          <w:p w14:paraId="7CE313F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w:t>
            </w:r>
          </w:p>
        </w:tc>
      </w:tr>
      <w:tr w14:paraId="75780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036A1E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936FDA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18E1FE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5D3EC9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CE15DB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辣椒、花椒、辣椒粉、花椒粉</w:t>
            </w:r>
          </w:p>
        </w:tc>
        <w:tc>
          <w:tcPr>
            <w:tcW w:w="1557" w:type="pct"/>
            <w:noWrap w:val="0"/>
            <w:vAlign w:val="center"/>
          </w:tcPr>
          <w:p w14:paraId="627A7E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铅（以Pb计）、苏丹红I、苏丹红Ⅱ、苏丹红Ⅲ、苏丹红IV、脱氢乙酸及其钠盐（以脱氢乙酸计）</w:t>
            </w:r>
          </w:p>
        </w:tc>
        <w:tc>
          <w:tcPr>
            <w:tcW w:w="1438" w:type="pct"/>
            <w:noWrap w:val="0"/>
            <w:vAlign w:val="center"/>
          </w:tcPr>
          <w:p w14:paraId="2398B34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罗丹明B、二氧化硫残留量、合成着色剂（柠檬黄、日落黄、胭脂红）、沙门氏菌</w:t>
            </w:r>
          </w:p>
        </w:tc>
      </w:tr>
      <w:tr w14:paraId="2AB0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3CA0F26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w:t>
            </w:r>
          </w:p>
        </w:tc>
        <w:tc>
          <w:tcPr>
            <w:tcW w:w="408" w:type="pct"/>
            <w:vMerge w:val="restart"/>
            <w:noWrap w:val="0"/>
            <w:vAlign w:val="center"/>
          </w:tcPr>
          <w:p w14:paraId="11D6A58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调味品</w:t>
            </w:r>
          </w:p>
        </w:tc>
        <w:tc>
          <w:tcPr>
            <w:tcW w:w="423" w:type="pct"/>
            <w:noWrap w:val="0"/>
            <w:vAlign w:val="center"/>
          </w:tcPr>
          <w:p w14:paraId="7815AC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香辛料类</w:t>
            </w:r>
          </w:p>
        </w:tc>
        <w:tc>
          <w:tcPr>
            <w:tcW w:w="455" w:type="pct"/>
            <w:noWrap w:val="0"/>
            <w:vAlign w:val="center"/>
          </w:tcPr>
          <w:p w14:paraId="1C4AEA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香辛料类</w:t>
            </w:r>
          </w:p>
        </w:tc>
        <w:tc>
          <w:tcPr>
            <w:tcW w:w="461" w:type="pct"/>
            <w:noWrap w:val="0"/>
            <w:vAlign w:val="center"/>
          </w:tcPr>
          <w:p w14:paraId="66FD18B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其他香辛料调味品</w:t>
            </w:r>
          </w:p>
        </w:tc>
        <w:tc>
          <w:tcPr>
            <w:tcW w:w="1557" w:type="pct"/>
            <w:noWrap w:val="0"/>
            <w:vAlign w:val="center"/>
          </w:tcPr>
          <w:p w14:paraId="2B41F8F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铅（以Pb计）、脱氢乙酸及其钠盐（以脱氢乙酸计）、二氧化硫残留量</w:t>
            </w:r>
          </w:p>
        </w:tc>
        <w:tc>
          <w:tcPr>
            <w:tcW w:w="1438" w:type="pct"/>
            <w:noWrap w:val="0"/>
            <w:vAlign w:val="center"/>
          </w:tcPr>
          <w:p w14:paraId="09506E1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甜蜜素（以环己基氨基磺酸计）、合成着色剂（柠檬黄、日落黄、苋菜红、胭脂红、亮蓝）、丙溴磷、氯氰菊酯和高效氯氰菊酯、多菌灵、毒死蜱、克百威、沙门氏菌</w:t>
            </w:r>
          </w:p>
        </w:tc>
      </w:tr>
      <w:tr w14:paraId="718C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275CF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B677DD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314663A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调味料</w:t>
            </w:r>
          </w:p>
        </w:tc>
        <w:tc>
          <w:tcPr>
            <w:tcW w:w="455" w:type="pct"/>
            <w:vMerge w:val="restart"/>
            <w:noWrap w:val="0"/>
            <w:vAlign w:val="center"/>
          </w:tcPr>
          <w:p w14:paraId="492954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固体复合调味料</w:t>
            </w:r>
          </w:p>
        </w:tc>
        <w:tc>
          <w:tcPr>
            <w:tcW w:w="461" w:type="pct"/>
            <w:noWrap w:val="0"/>
            <w:vAlign w:val="center"/>
          </w:tcPr>
          <w:p w14:paraId="4F4DCF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鸡粉、鸡精调味料</w:t>
            </w:r>
          </w:p>
        </w:tc>
        <w:tc>
          <w:tcPr>
            <w:tcW w:w="1557" w:type="pct"/>
            <w:noWrap w:val="0"/>
            <w:vAlign w:val="center"/>
          </w:tcPr>
          <w:p w14:paraId="07E5B8C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谷氨酸钠、呈味核苷酸二钠、菌落总数、大肠菌群</w:t>
            </w:r>
          </w:p>
        </w:tc>
        <w:tc>
          <w:tcPr>
            <w:tcW w:w="1438" w:type="pct"/>
            <w:noWrap w:val="0"/>
            <w:vAlign w:val="center"/>
          </w:tcPr>
          <w:p w14:paraId="7AC4E39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铅（以Pb计）、糖精钠（以糖精计）、甜蜜素（以环己基氨基磺酸计）、安赛蜜</w:t>
            </w:r>
          </w:p>
        </w:tc>
      </w:tr>
      <w:tr w14:paraId="15AF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7260B6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4D3428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915747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92986B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AD1A7C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其他固体调味料</w:t>
            </w:r>
          </w:p>
        </w:tc>
        <w:tc>
          <w:tcPr>
            <w:tcW w:w="1557" w:type="pct"/>
            <w:noWrap w:val="0"/>
            <w:vAlign w:val="center"/>
          </w:tcPr>
          <w:p w14:paraId="3B317AD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罂粟碱、吗啡、可待因、那可丁、苯甲酸及其钠盐（以苯甲酸计）、山梨酸及其钾盐（以山梨酸计）、脱氢乙酸及其钠盐（以脱氢乙酸计）、糖精钠（以糖精计）、甜蜜素（以环己基氨基磺酸计）、</w:t>
            </w:r>
          </w:p>
        </w:tc>
        <w:tc>
          <w:tcPr>
            <w:tcW w:w="1438" w:type="pct"/>
            <w:noWrap w:val="0"/>
            <w:vAlign w:val="center"/>
          </w:tcPr>
          <w:p w14:paraId="25B5F55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铅（以Pb计）、苏丹红I、苏丹红Ⅱ、苏丹红Ⅲ、苏丹红IV、防腐剂混合使用时各自用量占其最大使用量的比例之和安赛蜜、阿斯巴甜、二氧化硫残留量</w:t>
            </w:r>
          </w:p>
        </w:tc>
      </w:tr>
      <w:tr w14:paraId="2A7A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1DC37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54EBD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EB0466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507937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半固体复合调味料</w:t>
            </w:r>
          </w:p>
        </w:tc>
        <w:tc>
          <w:tcPr>
            <w:tcW w:w="461" w:type="pct"/>
            <w:noWrap w:val="0"/>
            <w:vAlign w:val="center"/>
          </w:tcPr>
          <w:p w14:paraId="7FF4F93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蛋黄酱、沙拉酱</w:t>
            </w:r>
          </w:p>
        </w:tc>
        <w:tc>
          <w:tcPr>
            <w:tcW w:w="1557" w:type="pct"/>
            <w:noWrap w:val="0"/>
            <w:vAlign w:val="center"/>
          </w:tcPr>
          <w:p w14:paraId="161F96A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二氧化钛</w:t>
            </w:r>
          </w:p>
        </w:tc>
        <w:tc>
          <w:tcPr>
            <w:tcW w:w="1438" w:type="pct"/>
            <w:noWrap w:val="0"/>
            <w:vAlign w:val="center"/>
          </w:tcPr>
          <w:p w14:paraId="644BEDF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0225D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A2838B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41A227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DC56C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EA7AEE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1BF751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坚果与籽类的泥（酱）</w:t>
            </w:r>
          </w:p>
        </w:tc>
        <w:tc>
          <w:tcPr>
            <w:tcW w:w="1557" w:type="pct"/>
            <w:noWrap w:val="0"/>
            <w:vAlign w:val="center"/>
          </w:tcPr>
          <w:p w14:paraId="2D1E45C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铅（以Pb计）、黄曲霉毒素B</w:t>
            </w:r>
            <w:r>
              <w:rPr>
                <w:rFonts w:hint="eastAsia" w:ascii="宋体" w:hAnsi="宋体" w:eastAsia="宋体" w:cs="宋体"/>
                <w:i w:val="0"/>
                <w:iCs w:val="0"/>
                <w:color w:val="000000"/>
                <w:kern w:val="0"/>
                <w:sz w:val="21"/>
                <w:szCs w:val="21"/>
                <w:u w:val="none"/>
                <w:vertAlign w:val="subscript"/>
                <w:lang w:val="en-US" w:eastAsia="zh-CN" w:bidi="ar"/>
              </w:rPr>
              <w:t>1</w:t>
            </w:r>
          </w:p>
        </w:tc>
        <w:tc>
          <w:tcPr>
            <w:tcW w:w="1438" w:type="pct"/>
            <w:noWrap w:val="0"/>
            <w:vAlign w:val="center"/>
          </w:tcPr>
          <w:p w14:paraId="2F3E3B0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酸价/酸值、过氧化值</w:t>
            </w:r>
          </w:p>
        </w:tc>
      </w:tr>
      <w:tr w14:paraId="21D12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FE7AD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854972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87EF6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D4569A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9A4F7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辣椒酱</w:t>
            </w:r>
          </w:p>
        </w:tc>
        <w:tc>
          <w:tcPr>
            <w:tcW w:w="1557" w:type="pct"/>
            <w:noWrap w:val="0"/>
            <w:vAlign w:val="center"/>
          </w:tcPr>
          <w:p w14:paraId="2B56427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2AEC953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防腐剂混合使用时各自用量占其最大使用量的比例之和、甜蜜素（以环己基氨基磺酸计）、二氧化硫残留量</w:t>
            </w:r>
          </w:p>
        </w:tc>
      </w:tr>
      <w:tr w14:paraId="405E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91069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C78048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87ABD7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FA5CC1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33E45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火锅底料、麻辣烫底料</w:t>
            </w:r>
          </w:p>
        </w:tc>
        <w:tc>
          <w:tcPr>
            <w:tcW w:w="1557" w:type="pct"/>
            <w:noWrap w:val="0"/>
            <w:vAlign w:val="center"/>
          </w:tcPr>
          <w:p w14:paraId="696D315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罂粟碱、吗啡、可待因、那可丁</w:t>
            </w:r>
          </w:p>
        </w:tc>
        <w:tc>
          <w:tcPr>
            <w:tcW w:w="1438" w:type="pct"/>
            <w:noWrap w:val="0"/>
            <w:vAlign w:val="center"/>
          </w:tcPr>
          <w:p w14:paraId="3EEC26C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苯甲酸及其钠盐（以苯甲酸计）、山梨酸及其钾盐（以山梨酸计）、脱氢乙酸及其钠盐（以脱氢乙酸计）、防腐剂混合使用时各自用量占其最大使用量的比例之和</w:t>
            </w:r>
          </w:p>
        </w:tc>
      </w:tr>
      <w:tr w14:paraId="5FCFE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8D94E0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EDFE55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B496AD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439E16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1D42785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其他半固体调味料</w:t>
            </w:r>
          </w:p>
        </w:tc>
        <w:tc>
          <w:tcPr>
            <w:tcW w:w="1557" w:type="pct"/>
            <w:noWrap w:val="0"/>
            <w:vAlign w:val="center"/>
          </w:tcPr>
          <w:p w14:paraId="57E92DB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罂粟碱、吗啡、可待因、那可丁、苯甲酸及其钠盐（以苯甲酸计）、山梨酸及其钾盐（以山梨酸计）</w:t>
            </w:r>
          </w:p>
        </w:tc>
        <w:tc>
          <w:tcPr>
            <w:tcW w:w="1438" w:type="pct"/>
            <w:noWrap w:val="0"/>
            <w:vAlign w:val="center"/>
          </w:tcPr>
          <w:p w14:paraId="43E2582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铅（以Pb计）、罗丹明B、脱氢乙酸及其钠盐（以脱氢乙酸计）、防腐剂混合使用时各自用量占其最大使用量的比例之和、甜蜜素（以环己基氨基磺酸计）、安赛蜜</w:t>
            </w:r>
          </w:p>
        </w:tc>
      </w:tr>
      <w:tr w14:paraId="2ED6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12D7FD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5467DA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90B0E7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5E0A2F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液体复合调味料</w:t>
            </w:r>
          </w:p>
        </w:tc>
        <w:tc>
          <w:tcPr>
            <w:tcW w:w="461" w:type="pct"/>
            <w:noWrap w:val="0"/>
            <w:vAlign w:val="center"/>
          </w:tcPr>
          <w:p w14:paraId="22A07E6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蚝油、虾油、鱼露</w:t>
            </w:r>
          </w:p>
        </w:tc>
        <w:tc>
          <w:tcPr>
            <w:tcW w:w="1557" w:type="pct"/>
            <w:noWrap w:val="0"/>
            <w:vAlign w:val="center"/>
          </w:tcPr>
          <w:p w14:paraId="255416A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氨基酸态氮、苯甲酸及其钠盐（以苯甲酸计）、山梨酸及其钾盐（以山梨酸计）、脱氢乙酸及其钠盐（以脱氢乙酸计）</w:t>
            </w:r>
          </w:p>
        </w:tc>
        <w:tc>
          <w:tcPr>
            <w:tcW w:w="1438" w:type="pct"/>
            <w:noWrap w:val="0"/>
            <w:vAlign w:val="center"/>
          </w:tcPr>
          <w:p w14:paraId="20EEF90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防腐剂混合使用时各自用量占其最大使用量的比例之和、菌落总数、大肠菌群</w:t>
            </w:r>
          </w:p>
        </w:tc>
      </w:tr>
      <w:tr w14:paraId="6BEF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2D3099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B7E8D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C13DF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05C283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194EA21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其他液体调味料</w:t>
            </w:r>
          </w:p>
        </w:tc>
        <w:tc>
          <w:tcPr>
            <w:tcW w:w="1557" w:type="pct"/>
            <w:noWrap w:val="0"/>
            <w:vAlign w:val="center"/>
          </w:tcPr>
          <w:p w14:paraId="0BAEBB8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苯甲酸及其钠盐（以苯甲酸计）、山梨酸及其钾盐（以山梨酸计）、脱氢乙酸及其钠盐（以脱氢乙酸计）、合成着色剂（柠檬黄、日落黄、胭脂红、诱惑红）</w:t>
            </w:r>
          </w:p>
        </w:tc>
        <w:tc>
          <w:tcPr>
            <w:tcW w:w="1438" w:type="pct"/>
            <w:noWrap w:val="0"/>
            <w:vAlign w:val="center"/>
          </w:tcPr>
          <w:p w14:paraId="2C81AA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防腐剂混合使用时各自用量占其最大使用量的比例之和、糖精钠（以糖精计）、甜蜜素（以环己基氨基磺酸计）、相同色泽着色剂混合使用时各自用量占其最大使用量的比例之和、菌落总数</w:t>
            </w:r>
          </w:p>
        </w:tc>
      </w:tr>
      <w:tr w14:paraId="3158D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372210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A093BB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356034D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味精</w:t>
            </w:r>
          </w:p>
        </w:tc>
        <w:tc>
          <w:tcPr>
            <w:tcW w:w="455" w:type="pct"/>
            <w:noWrap w:val="0"/>
            <w:vAlign w:val="center"/>
          </w:tcPr>
          <w:p w14:paraId="45327D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味精</w:t>
            </w:r>
          </w:p>
        </w:tc>
        <w:tc>
          <w:tcPr>
            <w:tcW w:w="461" w:type="pct"/>
            <w:noWrap w:val="0"/>
            <w:vAlign w:val="center"/>
          </w:tcPr>
          <w:p w14:paraId="7A5B61C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味精</w:t>
            </w:r>
          </w:p>
        </w:tc>
        <w:tc>
          <w:tcPr>
            <w:tcW w:w="1557" w:type="pct"/>
            <w:noWrap w:val="0"/>
            <w:vAlign w:val="center"/>
          </w:tcPr>
          <w:p w14:paraId="17B005D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谷氨酸钠</w:t>
            </w:r>
          </w:p>
        </w:tc>
        <w:tc>
          <w:tcPr>
            <w:tcW w:w="1438" w:type="pct"/>
            <w:noWrap w:val="0"/>
            <w:vAlign w:val="center"/>
          </w:tcPr>
          <w:p w14:paraId="6A81C99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3FC5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DB3590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501A8F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39C7EDE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食盐</w:t>
            </w:r>
          </w:p>
        </w:tc>
        <w:tc>
          <w:tcPr>
            <w:tcW w:w="455" w:type="pct"/>
            <w:vMerge w:val="restart"/>
            <w:noWrap w:val="0"/>
            <w:vAlign w:val="center"/>
          </w:tcPr>
          <w:p w14:paraId="05E04A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食用盐</w:t>
            </w:r>
          </w:p>
        </w:tc>
        <w:tc>
          <w:tcPr>
            <w:tcW w:w="461" w:type="pct"/>
            <w:noWrap w:val="0"/>
            <w:vAlign w:val="center"/>
          </w:tcPr>
          <w:p w14:paraId="1E7A343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普通食用盐</w:t>
            </w:r>
          </w:p>
        </w:tc>
        <w:tc>
          <w:tcPr>
            <w:tcW w:w="1557" w:type="pct"/>
            <w:noWrap w:val="0"/>
            <w:vAlign w:val="center"/>
          </w:tcPr>
          <w:p w14:paraId="5DF94BF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氯化钠、钡（以Ba计）、碘（以I计）、亚铁氰化钾/亚铁氰化钠（以亚铁氰根计）</w:t>
            </w:r>
          </w:p>
        </w:tc>
        <w:tc>
          <w:tcPr>
            <w:tcW w:w="1438" w:type="pct"/>
            <w:noWrap w:val="0"/>
            <w:vAlign w:val="center"/>
          </w:tcPr>
          <w:p w14:paraId="1D397C9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铅（以Pb计）、总砷（以As计）、镉（以Cd计）、总汞（以Hg计）</w:t>
            </w:r>
          </w:p>
        </w:tc>
      </w:tr>
      <w:tr w14:paraId="1572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8F27B0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FB7815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0FD3EC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6F6188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ECD87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低钠食用盐</w:t>
            </w:r>
          </w:p>
        </w:tc>
        <w:tc>
          <w:tcPr>
            <w:tcW w:w="1557" w:type="pct"/>
            <w:noWrap w:val="0"/>
            <w:vAlign w:val="center"/>
          </w:tcPr>
          <w:p w14:paraId="77BA0DD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氯化钾、钡（以Ba计）、碘（以I计）、亚铁氰化钾/亚铁氰化钠（以亚铁氰根计）</w:t>
            </w:r>
          </w:p>
        </w:tc>
        <w:tc>
          <w:tcPr>
            <w:tcW w:w="1438" w:type="pct"/>
            <w:noWrap w:val="0"/>
            <w:vAlign w:val="center"/>
          </w:tcPr>
          <w:p w14:paraId="39CF60C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铅（以Pb计）、总砷（以As计）、镉（以Cd计）、总汞（以Hg计）</w:t>
            </w:r>
          </w:p>
        </w:tc>
      </w:tr>
      <w:tr w14:paraId="5DD75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7E563B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3</w:t>
            </w:r>
          </w:p>
        </w:tc>
        <w:tc>
          <w:tcPr>
            <w:tcW w:w="408" w:type="pct"/>
            <w:vMerge w:val="restart"/>
            <w:noWrap w:val="0"/>
            <w:vAlign w:val="center"/>
          </w:tcPr>
          <w:p w14:paraId="58BD478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调味品</w:t>
            </w:r>
          </w:p>
        </w:tc>
        <w:tc>
          <w:tcPr>
            <w:tcW w:w="423" w:type="pct"/>
            <w:vMerge w:val="restart"/>
            <w:noWrap w:val="0"/>
            <w:vAlign w:val="center"/>
          </w:tcPr>
          <w:p w14:paraId="4B29BF7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食盐</w:t>
            </w:r>
          </w:p>
        </w:tc>
        <w:tc>
          <w:tcPr>
            <w:tcW w:w="455" w:type="pct"/>
            <w:vMerge w:val="restart"/>
            <w:noWrap w:val="0"/>
            <w:vAlign w:val="center"/>
          </w:tcPr>
          <w:p w14:paraId="5A36B23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食用盐</w:t>
            </w:r>
          </w:p>
        </w:tc>
        <w:tc>
          <w:tcPr>
            <w:tcW w:w="461" w:type="pct"/>
            <w:noWrap w:val="0"/>
            <w:vAlign w:val="center"/>
          </w:tcPr>
          <w:p w14:paraId="7B80458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风味食用盐</w:t>
            </w:r>
          </w:p>
        </w:tc>
        <w:tc>
          <w:tcPr>
            <w:tcW w:w="1557" w:type="pct"/>
            <w:noWrap w:val="0"/>
            <w:vAlign w:val="center"/>
          </w:tcPr>
          <w:p w14:paraId="2DE7A37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钡（以Ba计）、亚铁氰化钾/亚铁氰化钠（以亚铁氰根计）</w:t>
            </w:r>
          </w:p>
        </w:tc>
        <w:tc>
          <w:tcPr>
            <w:tcW w:w="1438" w:type="pct"/>
            <w:noWrap w:val="0"/>
            <w:vAlign w:val="center"/>
          </w:tcPr>
          <w:p w14:paraId="03BF46A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铅（以Pb计）、总砷（以As计）、镉（以Cd计）、总汞（以Hg计）</w:t>
            </w:r>
          </w:p>
        </w:tc>
      </w:tr>
      <w:tr w14:paraId="013B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215358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777D8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9A5E2E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continue"/>
            <w:noWrap w:val="0"/>
            <w:vAlign w:val="center"/>
          </w:tcPr>
          <w:p w14:paraId="552749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61" w:type="pct"/>
            <w:noWrap w:val="0"/>
            <w:vAlign w:val="center"/>
          </w:tcPr>
          <w:p w14:paraId="45E0E4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特殊工艺食用盐</w:t>
            </w:r>
          </w:p>
        </w:tc>
        <w:tc>
          <w:tcPr>
            <w:tcW w:w="1557" w:type="pct"/>
            <w:noWrap w:val="0"/>
            <w:vAlign w:val="center"/>
          </w:tcPr>
          <w:p w14:paraId="1BA0D3C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氯化钠、钡（以Ba计）、亚铁氰化钾/亚铁氰化钠（以亚铁氰根计）</w:t>
            </w:r>
          </w:p>
        </w:tc>
        <w:tc>
          <w:tcPr>
            <w:tcW w:w="1438" w:type="pct"/>
            <w:noWrap w:val="0"/>
            <w:vAlign w:val="center"/>
          </w:tcPr>
          <w:p w14:paraId="02CCA80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碘（以I计）、铅（以Pb计）、总砷（以As计）、镉（以Cd计）、总汞（以Hg计）</w:t>
            </w:r>
          </w:p>
        </w:tc>
      </w:tr>
      <w:tr w14:paraId="5DD5B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CB1D90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4FD8A8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57F4FF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18E984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食品生产加工用盐</w:t>
            </w:r>
          </w:p>
        </w:tc>
        <w:tc>
          <w:tcPr>
            <w:tcW w:w="461" w:type="pct"/>
            <w:noWrap w:val="0"/>
            <w:vAlign w:val="center"/>
          </w:tcPr>
          <w:p w14:paraId="73AFE29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食品生产加工用盐</w:t>
            </w:r>
          </w:p>
        </w:tc>
        <w:tc>
          <w:tcPr>
            <w:tcW w:w="1557" w:type="pct"/>
            <w:noWrap w:val="0"/>
            <w:vAlign w:val="center"/>
          </w:tcPr>
          <w:p w14:paraId="7E066EF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亚铁氰化钾/亚铁氰化钠（以亚铁氰根计）、亚硝酸盐（以NaNO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w:t>
            </w:r>
          </w:p>
        </w:tc>
        <w:tc>
          <w:tcPr>
            <w:tcW w:w="1438" w:type="pct"/>
            <w:noWrap w:val="0"/>
            <w:vAlign w:val="center"/>
          </w:tcPr>
          <w:p w14:paraId="72A9579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铅（以Pb计）、总砷（以As计）、镉（以Cd计）、总汞（以Hg计）</w:t>
            </w:r>
          </w:p>
        </w:tc>
      </w:tr>
      <w:tr w14:paraId="024A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24D62F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08" w:type="pct"/>
            <w:vMerge w:val="restart"/>
            <w:noWrap w:val="0"/>
            <w:vAlign w:val="center"/>
          </w:tcPr>
          <w:p w14:paraId="653106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肉制品</w:t>
            </w:r>
          </w:p>
        </w:tc>
        <w:tc>
          <w:tcPr>
            <w:tcW w:w="423" w:type="pct"/>
            <w:vMerge w:val="restart"/>
            <w:noWrap w:val="0"/>
            <w:vAlign w:val="center"/>
          </w:tcPr>
          <w:p w14:paraId="0D9E8E5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预制肉制品</w:t>
            </w:r>
          </w:p>
        </w:tc>
        <w:tc>
          <w:tcPr>
            <w:tcW w:w="455" w:type="pct"/>
            <w:noWrap w:val="0"/>
            <w:vAlign w:val="center"/>
          </w:tcPr>
          <w:p w14:paraId="7B42EC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调理肉制品</w:t>
            </w:r>
          </w:p>
        </w:tc>
        <w:tc>
          <w:tcPr>
            <w:tcW w:w="461" w:type="pct"/>
            <w:noWrap w:val="0"/>
            <w:vAlign w:val="center"/>
          </w:tcPr>
          <w:p w14:paraId="771AA3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调理肉制品（非速冻）</w:t>
            </w:r>
          </w:p>
        </w:tc>
        <w:tc>
          <w:tcPr>
            <w:tcW w:w="1557" w:type="pct"/>
            <w:noWrap w:val="0"/>
            <w:vAlign w:val="center"/>
          </w:tcPr>
          <w:p w14:paraId="3E5BF20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1EF358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71D3A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E96FD5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B8B02F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EC5EDC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1FF9B1B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腌腊肉制品</w:t>
            </w:r>
          </w:p>
        </w:tc>
        <w:tc>
          <w:tcPr>
            <w:tcW w:w="461" w:type="pct"/>
            <w:noWrap w:val="0"/>
            <w:vAlign w:val="center"/>
          </w:tcPr>
          <w:p w14:paraId="0F56C6C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腌腊肉制品</w:t>
            </w:r>
          </w:p>
        </w:tc>
        <w:tc>
          <w:tcPr>
            <w:tcW w:w="1557" w:type="pct"/>
            <w:noWrap w:val="0"/>
            <w:vAlign w:val="center"/>
          </w:tcPr>
          <w:p w14:paraId="48DAF3F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过氧化值（以脂肪计）、亚硝酸盐（以亚硝酸钠计）、苯甲酸及其钠盐（以苯甲酸计）、山梨酸及其钾盐（以山梨酸计）、脱氢乙酸及其钠盐（以脱氢乙酸计）、</w:t>
            </w:r>
          </w:p>
        </w:tc>
        <w:tc>
          <w:tcPr>
            <w:tcW w:w="1438" w:type="pct"/>
            <w:noWrap w:val="0"/>
            <w:vAlign w:val="center"/>
          </w:tcPr>
          <w:p w14:paraId="737C8F0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铅（以Pb计）、总砷（以As计）、合成着色剂（柠檬黄、日落黄、胭脂红、诱惑红、苋菜红、酸性红）、氯霉素</w:t>
            </w:r>
          </w:p>
        </w:tc>
      </w:tr>
      <w:tr w14:paraId="37A6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8F4DD8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6C6C57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03A04C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熟肉制品</w:t>
            </w:r>
          </w:p>
        </w:tc>
        <w:tc>
          <w:tcPr>
            <w:tcW w:w="455" w:type="pct"/>
            <w:noWrap w:val="0"/>
            <w:vAlign w:val="center"/>
          </w:tcPr>
          <w:p w14:paraId="7A39D0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发酵肉制品</w:t>
            </w:r>
          </w:p>
        </w:tc>
        <w:tc>
          <w:tcPr>
            <w:tcW w:w="461" w:type="pct"/>
            <w:noWrap w:val="0"/>
            <w:vAlign w:val="center"/>
          </w:tcPr>
          <w:p w14:paraId="1B9E41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发酵肉制品</w:t>
            </w:r>
          </w:p>
        </w:tc>
        <w:tc>
          <w:tcPr>
            <w:tcW w:w="1557" w:type="pct"/>
            <w:noWrap w:val="0"/>
            <w:vAlign w:val="center"/>
          </w:tcPr>
          <w:p w14:paraId="2CAC22A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亚硝酸盐（以亚硝酸钠计）、纳他霉素</w:t>
            </w:r>
          </w:p>
        </w:tc>
        <w:tc>
          <w:tcPr>
            <w:tcW w:w="1438" w:type="pct"/>
            <w:noWrap w:val="0"/>
            <w:vAlign w:val="center"/>
          </w:tcPr>
          <w:p w14:paraId="2E72F53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大肠菌群、沙门氏菌、金黄色葡萄球菌、单核细胞增生李斯特氏菌、致泻大肠埃希氏菌</w:t>
            </w:r>
          </w:p>
        </w:tc>
      </w:tr>
      <w:tr w14:paraId="443C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5DC9E6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AD656A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5C874F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noWrap w:val="0"/>
            <w:vAlign w:val="center"/>
          </w:tcPr>
          <w:p w14:paraId="691D01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酱卤肉制品</w:t>
            </w:r>
          </w:p>
        </w:tc>
        <w:tc>
          <w:tcPr>
            <w:tcW w:w="461" w:type="pct"/>
            <w:noWrap w:val="0"/>
            <w:vAlign w:val="center"/>
          </w:tcPr>
          <w:p w14:paraId="097026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酱卤肉制品</w:t>
            </w:r>
          </w:p>
        </w:tc>
        <w:tc>
          <w:tcPr>
            <w:tcW w:w="1557" w:type="pct"/>
            <w:noWrap w:val="0"/>
            <w:vAlign w:val="center"/>
          </w:tcPr>
          <w:p w14:paraId="235A6F1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N-二甲基亚硝胺、亚硝酸盐（以亚硝酸钠计）、苯甲酸及其钠盐（以苯甲酸计）、山梨酸及其钾盐（以山梨酸计）、脱氢乙酸及其钠盐（以脱氢乙酸计）、纳他霉素、氯霉素、菌落总数、大肠菌群</w:t>
            </w:r>
          </w:p>
        </w:tc>
        <w:tc>
          <w:tcPr>
            <w:tcW w:w="1438" w:type="pct"/>
            <w:noWrap w:val="0"/>
            <w:vAlign w:val="center"/>
          </w:tcPr>
          <w:p w14:paraId="470E6B3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铬（以Cr计）、总砷（以As计）、防腐剂混合使用时各自用量占其最大使用量的比例之和、糖精钠（以糖精计）、合成着色剂（柠檬黄、日落黄、胭脂红、诱惑红）、沙门氏菌、金黄色葡萄球菌、单核细胞增生李斯特氏菌、致泻大肠埃希氏菌、商业无菌</w:t>
            </w:r>
          </w:p>
        </w:tc>
      </w:tr>
      <w:tr w14:paraId="56EDE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1FFD7B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9B1F5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64917A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2C1228B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油炸肉制品</w:t>
            </w:r>
          </w:p>
        </w:tc>
        <w:tc>
          <w:tcPr>
            <w:tcW w:w="461" w:type="pct"/>
            <w:noWrap w:val="0"/>
            <w:vAlign w:val="center"/>
          </w:tcPr>
          <w:p w14:paraId="22D253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油炸肉制品</w:t>
            </w:r>
          </w:p>
        </w:tc>
        <w:tc>
          <w:tcPr>
            <w:tcW w:w="1557" w:type="pct"/>
            <w:noWrap w:val="0"/>
            <w:vAlign w:val="center"/>
          </w:tcPr>
          <w:p w14:paraId="09D2210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N-二甲基亚硝胺、亚硝酸盐（以亚硝酸钠计）、苯甲酸及其钠盐（以苯甲酸计）、山梨酸及其钾盐（以山梨酸计）</w:t>
            </w:r>
          </w:p>
        </w:tc>
        <w:tc>
          <w:tcPr>
            <w:tcW w:w="1438" w:type="pct"/>
            <w:noWrap w:val="0"/>
            <w:vAlign w:val="center"/>
          </w:tcPr>
          <w:p w14:paraId="2211358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沙门氏菌、金黄色葡萄球菌、单核细胞增生李斯特氏菌、致泻大肠埃希氏菌</w:t>
            </w:r>
          </w:p>
        </w:tc>
      </w:tr>
      <w:tr w14:paraId="3FCFF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80CD50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74455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190CD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1BF7455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熟肉干制品</w:t>
            </w:r>
          </w:p>
        </w:tc>
        <w:tc>
          <w:tcPr>
            <w:tcW w:w="461" w:type="pct"/>
            <w:noWrap w:val="0"/>
            <w:vAlign w:val="center"/>
          </w:tcPr>
          <w:p w14:paraId="3957470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熟肉干制品</w:t>
            </w:r>
          </w:p>
        </w:tc>
        <w:tc>
          <w:tcPr>
            <w:tcW w:w="1557" w:type="pct"/>
            <w:noWrap w:val="0"/>
            <w:vAlign w:val="center"/>
          </w:tcPr>
          <w:p w14:paraId="6110C2A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N-二甲基亚硝胺、苯甲酸及其钠盐（以苯甲酸计）、山梨酸及其钾盐（以山梨酸计）、脱氢乙酸及其钠盐（以脱氢乙酸计）、氯霉素</w:t>
            </w:r>
          </w:p>
        </w:tc>
        <w:tc>
          <w:tcPr>
            <w:tcW w:w="1438" w:type="pct"/>
            <w:noWrap w:val="0"/>
            <w:vAlign w:val="center"/>
          </w:tcPr>
          <w:p w14:paraId="0820C4F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铅（以Pb计）、防腐剂混合使用时各自用量占其最大使用量的比例之和、合成着色剂（胭脂红、诱惑红）、菌落总数、大肠菌群、沙门氏菌、金黄色葡萄球菌、单核细胞增生李斯特氏菌、致泻大肠埃希氏菌</w:t>
            </w:r>
          </w:p>
        </w:tc>
      </w:tr>
      <w:tr w14:paraId="09FC2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5FE0B1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828F99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406D5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42EAE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熏烧烤肉制品</w:t>
            </w:r>
          </w:p>
        </w:tc>
        <w:tc>
          <w:tcPr>
            <w:tcW w:w="461" w:type="pct"/>
            <w:noWrap w:val="0"/>
            <w:vAlign w:val="center"/>
          </w:tcPr>
          <w:p w14:paraId="05DC3F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熏烧烤肉</w:t>
            </w:r>
          </w:p>
          <w:p w14:paraId="260006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制品</w:t>
            </w:r>
          </w:p>
        </w:tc>
        <w:tc>
          <w:tcPr>
            <w:tcW w:w="1557" w:type="pct"/>
            <w:noWrap w:val="0"/>
            <w:vAlign w:val="center"/>
          </w:tcPr>
          <w:p w14:paraId="7A50CE3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苯并[a]芘、N-二甲基亚硝胺、亚硝酸盐（以亚硝酸钠计）、苯甲酸及其钠盐（以苯甲酸计）、山梨酸及其钾盐（以山梨酸计）</w:t>
            </w:r>
          </w:p>
        </w:tc>
        <w:tc>
          <w:tcPr>
            <w:tcW w:w="1438" w:type="pct"/>
            <w:noWrap w:val="0"/>
            <w:vAlign w:val="center"/>
          </w:tcPr>
          <w:p w14:paraId="5442AC7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纳他霉素、合成着色剂（柠檬黄、日落黄、胭脂红）、氯霉素、菌落总数、大肠菌群、沙门氏菌、金黄色葡萄球菌、单核细胞增生李斯特氏菌、致泻大肠埃希氏菌</w:t>
            </w:r>
          </w:p>
        </w:tc>
      </w:tr>
      <w:tr w14:paraId="719A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6DA895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37491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41E1B9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1C1B83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熏煮香肠火腿制品</w:t>
            </w:r>
          </w:p>
        </w:tc>
        <w:tc>
          <w:tcPr>
            <w:tcW w:w="461" w:type="pct"/>
            <w:noWrap w:val="0"/>
            <w:vAlign w:val="center"/>
          </w:tcPr>
          <w:p w14:paraId="459713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熏煮香肠</w:t>
            </w:r>
          </w:p>
          <w:p w14:paraId="110F3A4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火腿制品</w:t>
            </w:r>
          </w:p>
        </w:tc>
        <w:tc>
          <w:tcPr>
            <w:tcW w:w="1557" w:type="pct"/>
            <w:noWrap w:val="0"/>
            <w:vAlign w:val="center"/>
          </w:tcPr>
          <w:p w14:paraId="7B871EA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亚硝酸盐（以亚硝酸钠计）、苯甲酸及其钠盐（以苯甲酸计）、山梨酸及其钾盐（以山梨酸计）、脱氢乙酸及其钠盐（以脱氢乙酸计）、氯霉素</w:t>
            </w:r>
          </w:p>
        </w:tc>
        <w:tc>
          <w:tcPr>
            <w:tcW w:w="1438" w:type="pct"/>
            <w:noWrap w:val="0"/>
            <w:vAlign w:val="center"/>
          </w:tcPr>
          <w:p w14:paraId="09BAA3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纳他霉素、防腐剂混合使用时各自用量占其最大使用量的比例之和、合成着色剂（胭脂红、诱惑红）、菌落总数、大肠菌群、沙门氏菌、金黄色葡萄球菌、单核细胞增生李斯特氏菌、致泻大肠埃希氏菌</w:t>
            </w:r>
          </w:p>
        </w:tc>
      </w:tr>
      <w:tr w14:paraId="1F08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15B398A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08" w:type="pct"/>
            <w:noWrap w:val="0"/>
            <w:vAlign w:val="center"/>
          </w:tcPr>
          <w:p w14:paraId="3409EC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乳制品</w:t>
            </w:r>
          </w:p>
        </w:tc>
        <w:tc>
          <w:tcPr>
            <w:tcW w:w="423" w:type="pct"/>
            <w:noWrap w:val="0"/>
            <w:vAlign w:val="center"/>
          </w:tcPr>
          <w:p w14:paraId="7E5AF01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乳制品</w:t>
            </w:r>
          </w:p>
        </w:tc>
        <w:tc>
          <w:tcPr>
            <w:tcW w:w="455" w:type="pct"/>
            <w:noWrap w:val="0"/>
            <w:vAlign w:val="center"/>
          </w:tcPr>
          <w:p w14:paraId="16CDE84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液体乳</w:t>
            </w:r>
          </w:p>
        </w:tc>
        <w:tc>
          <w:tcPr>
            <w:tcW w:w="461" w:type="pct"/>
            <w:noWrap w:val="0"/>
            <w:vAlign w:val="center"/>
          </w:tcPr>
          <w:p w14:paraId="0942D9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巴氏杀菌乳</w:t>
            </w:r>
          </w:p>
        </w:tc>
        <w:tc>
          <w:tcPr>
            <w:tcW w:w="1557" w:type="pct"/>
            <w:noWrap w:val="0"/>
            <w:vAlign w:val="center"/>
          </w:tcPr>
          <w:p w14:paraId="7CA4712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蛋白质、丙二醇</w:t>
            </w:r>
          </w:p>
        </w:tc>
        <w:tc>
          <w:tcPr>
            <w:tcW w:w="1438" w:type="pct"/>
            <w:noWrap w:val="0"/>
            <w:vAlign w:val="center"/>
          </w:tcPr>
          <w:p w14:paraId="59995EC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酸度、三聚氰胺、铅（以Pb计）、沙门氏菌、金黄色葡萄球菌、菌落总数、大肠菌群</w:t>
            </w:r>
          </w:p>
        </w:tc>
      </w:tr>
      <w:tr w14:paraId="3C9F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150184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w:t>
            </w:r>
          </w:p>
        </w:tc>
        <w:tc>
          <w:tcPr>
            <w:tcW w:w="408" w:type="pct"/>
            <w:vMerge w:val="restart"/>
            <w:noWrap w:val="0"/>
            <w:vAlign w:val="center"/>
          </w:tcPr>
          <w:p w14:paraId="29D7C8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乳制品</w:t>
            </w:r>
          </w:p>
        </w:tc>
        <w:tc>
          <w:tcPr>
            <w:tcW w:w="423" w:type="pct"/>
            <w:vMerge w:val="restart"/>
            <w:noWrap w:val="0"/>
            <w:vAlign w:val="center"/>
          </w:tcPr>
          <w:p w14:paraId="64DC50F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乳制品</w:t>
            </w:r>
          </w:p>
        </w:tc>
        <w:tc>
          <w:tcPr>
            <w:tcW w:w="455" w:type="pct"/>
            <w:vMerge w:val="restart"/>
            <w:noWrap w:val="0"/>
            <w:vAlign w:val="center"/>
          </w:tcPr>
          <w:p w14:paraId="50DC79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液体乳</w:t>
            </w:r>
          </w:p>
        </w:tc>
        <w:tc>
          <w:tcPr>
            <w:tcW w:w="461" w:type="pct"/>
            <w:noWrap w:val="0"/>
            <w:vAlign w:val="center"/>
          </w:tcPr>
          <w:p w14:paraId="2FD8169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灭菌乳</w:t>
            </w:r>
          </w:p>
        </w:tc>
        <w:tc>
          <w:tcPr>
            <w:tcW w:w="1557" w:type="pct"/>
            <w:noWrap w:val="0"/>
            <w:vAlign w:val="center"/>
          </w:tcPr>
          <w:p w14:paraId="342202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蛋白质、非脂乳固体、酸度、商业无菌</w:t>
            </w:r>
          </w:p>
        </w:tc>
        <w:tc>
          <w:tcPr>
            <w:tcW w:w="1438" w:type="pct"/>
            <w:noWrap w:val="0"/>
            <w:vAlign w:val="center"/>
          </w:tcPr>
          <w:p w14:paraId="0B50C9C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脂肪、三聚氰胺、铅（以Pb计）、丙二醇</w:t>
            </w:r>
          </w:p>
        </w:tc>
      </w:tr>
      <w:tr w14:paraId="09FC6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E2714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BC850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67C0CF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52DDBD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FE5C2D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高温杀菌乳</w:t>
            </w:r>
          </w:p>
        </w:tc>
        <w:tc>
          <w:tcPr>
            <w:tcW w:w="1557" w:type="pct"/>
            <w:noWrap w:val="0"/>
            <w:vAlign w:val="center"/>
          </w:tcPr>
          <w:p w14:paraId="3A790E0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蛋白质、酸度</w:t>
            </w:r>
          </w:p>
        </w:tc>
        <w:tc>
          <w:tcPr>
            <w:tcW w:w="1438" w:type="pct"/>
            <w:noWrap w:val="0"/>
            <w:vAlign w:val="center"/>
          </w:tcPr>
          <w:p w14:paraId="778197A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三聚氰胺、铅（以Pb计）、沙门氏菌、菌落总数、大肠菌群、丙二醇</w:t>
            </w:r>
          </w:p>
        </w:tc>
      </w:tr>
      <w:tr w14:paraId="11624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FF76A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123BF4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E9D7A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2AABBE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70317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发酵乳</w:t>
            </w:r>
          </w:p>
        </w:tc>
        <w:tc>
          <w:tcPr>
            <w:tcW w:w="1557" w:type="pct"/>
            <w:noWrap w:val="0"/>
            <w:vAlign w:val="center"/>
          </w:tcPr>
          <w:p w14:paraId="6707FE7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脂肪、蛋白质、酸度、山梨酸及其钾盐（以山梨酸计）</w:t>
            </w:r>
          </w:p>
        </w:tc>
        <w:tc>
          <w:tcPr>
            <w:tcW w:w="1438" w:type="pct"/>
            <w:noWrap w:val="0"/>
            <w:vAlign w:val="center"/>
          </w:tcPr>
          <w:p w14:paraId="7EDE84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甜蜜素（以环己基氨基磺酸计）、阿斯巴甜、安赛蜜、三聚氰胺、铅（以Pb计）、金黄色葡萄球菌、沙门氏菌、大肠菌群、酵母、霉菌</w:t>
            </w:r>
          </w:p>
        </w:tc>
      </w:tr>
      <w:tr w14:paraId="075E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68C19C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18485A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4DF161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68E33C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818EF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调制乳</w:t>
            </w:r>
          </w:p>
        </w:tc>
        <w:tc>
          <w:tcPr>
            <w:tcW w:w="1557" w:type="pct"/>
            <w:noWrap w:val="0"/>
            <w:vAlign w:val="center"/>
          </w:tcPr>
          <w:p w14:paraId="0293439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蛋白质、商业无菌</w:t>
            </w:r>
          </w:p>
        </w:tc>
        <w:tc>
          <w:tcPr>
            <w:tcW w:w="1438" w:type="pct"/>
            <w:noWrap w:val="0"/>
            <w:vAlign w:val="center"/>
          </w:tcPr>
          <w:p w14:paraId="63E21AA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三聚氰胺、铅（以Pb计）、菌落总数、大肠菌群</w:t>
            </w:r>
          </w:p>
        </w:tc>
      </w:tr>
      <w:tr w14:paraId="3AC3A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D3399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16695F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E713E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51774BF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乳粉</w:t>
            </w:r>
          </w:p>
        </w:tc>
        <w:tc>
          <w:tcPr>
            <w:tcW w:w="461" w:type="pct"/>
            <w:noWrap w:val="0"/>
            <w:vAlign w:val="center"/>
          </w:tcPr>
          <w:p w14:paraId="0B570D2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乳粉（全脂、脱脂、部分脱脂）和调制乳粉</w:t>
            </w:r>
          </w:p>
        </w:tc>
        <w:tc>
          <w:tcPr>
            <w:tcW w:w="1557" w:type="pct"/>
            <w:noWrap w:val="0"/>
            <w:vAlign w:val="center"/>
          </w:tcPr>
          <w:p w14:paraId="6BEEB23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蛋白质、脂肪</w:t>
            </w:r>
          </w:p>
        </w:tc>
        <w:tc>
          <w:tcPr>
            <w:tcW w:w="1438" w:type="pct"/>
            <w:noWrap w:val="0"/>
            <w:vAlign w:val="center"/>
          </w:tcPr>
          <w:p w14:paraId="41E5AFC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复原乳酸度、杂质度、水分、三聚氰胺、铅（以Pb计）、菌落总数、大肠菌群</w:t>
            </w:r>
          </w:p>
        </w:tc>
      </w:tr>
      <w:tr w14:paraId="5531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FF1300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A7638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48146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012FC3A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其他乳制品（浓缩乳制品、奶油、干酪、固态成型产品）</w:t>
            </w:r>
          </w:p>
        </w:tc>
        <w:tc>
          <w:tcPr>
            <w:tcW w:w="461" w:type="pct"/>
            <w:noWrap w:val="0"/>
            <w:vAlign w:val="center"/>
          </w:tcPr>
          <w:p w14:paraId="1DD5F1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稀奶油、奶油和无水奶油</w:t>
            </w:r>
          </w:p>
        </w:tc>
        <w:tc>
          <w:tcPr>
            <w:tcW w:w="1557" w:type="pct"/>
            <w:noWrap w:val="0"/>
            <w:vAlign w:val="center"/>
          </w:tcPr>
          <w:p w14:paraId="0CBE20B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脂肪、酸度</w:t>
            </w:r>
          </w:p>
        </w:tc>
        <w:tc>
          <w:tcPr>
            <w:tcW w:w="1438" w:type="pct"/>
            <w:noWrap w:val="0"/>
            <w:vAlign w:val="center"/>
          </w:tcPr>
          <w:p w14:paraId="7C0E049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三聚氰胺、脱氢乙酸及其钠盐（以脱氢乙酸计）、沙门氏菌、商业无菌、菌落总数、大肠菌群、霉菌</w:t>
            </w:r>
          </w:p>
        </w:tc>
      </w:tr>
      <w:tr w14:paraId="3CD6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54744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57852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01D3EB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859DB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1DD411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干酪、再制干酪、干酪制品</w:t>
            </w:r>
          </w:p>
        </w:tc>
        <w:tc>
          <w:tcPr>
            <w:tcW w:w="1557" w:type="pct"/>
            <w:noWrap w:val="0"/>
            <w:vAlign w:val="center"/>
          </w:tcPr>
          <w:p w14:paraId="19C1FDE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三聚氰胺</w:t>
            </w:r>
          </w:p>
        </w:tc>
        <w:tc>
          <w:tcPr>
            <w:tcW w:w="1438" w:type="pct"/>
            <w:noWrap w:val="0"/>
            <w:vAlign w:val="center"/>
          </w:tcPr>
          <w:p w14:paraId="4014419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金黄色葡萄球菌、沙门氏菌、单核细胞增生李斯特氏菌、菌落总数、大肠菌群、霉菌</w:t>
            </w:r>
          </w:p>
        </w:tc>
      </w:tr>
      <w:tr w14:paraId="3711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F35F4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179754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2F627D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DCBF9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969EB8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奶片、奶条等固态成型产品</w:t>
            </w:r>
          </w:p>
        </w:tc>
        <w:tc>
          <w:tcPr>
            <w:tcW w:w="1557" w:type="pct"/>
            <w:noWrap w:val="0"/>
            <w:vAlign w:val="center"/>
          </w:tcPr>
          <w:p w14:paraId="32AC2D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脱氢乙酸及其钠盐（以脱氢乙酸计）</w:t>
            </w:r>
          </w:p>
        </w:tc>
        <w:tc>
          <w:tcPr>
            <w:tcW w:w="1438" w:type="pct"/>
            <w:noWrap w:val="0"/>
            <w:vAlign w:val="center"/>
          </w:tcPr>
          <w:p w14:paraId="1C3764B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蛋白质、三聚氰胺、沙门氏菌</w:t>
            </w:r>
          </w:p>
        </w:tc>
      </w:tr>
      <w:tr w14:paraId="4920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3BD33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08" w:type="pct"/>
            <w:vMerge w:val="restart"/>
            <w:noWrap w:val="0"/>
            <w:vAlign w:val="center"/>
          </w:tcPr>
          <w:p w14:paraId="6BCB861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饮料</w:t>
            </w:r>
          </w:p>
        </w:tc>
        <w:tc>
          <w:tcPr>
            <w:tcW w:w="423" w:type="pct"/>
            <w:vMerge w:val="restart"/>
            <w:noWrap w:val="0"/>
            <w:vAlign w:val="center"/>
          </w:tcPr>
          <w:p w14:paraId="6D96C8C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饮料</w:t>
            </w:r>
          </w:p>
        </w:tc>
        <w:tc>
          <w:tcPr>
            <w:tcW w:w="455" w:type="pct"/>
            <w:vMerge w:val="restart"/>
            <w:noWrap w:val="0"/>
            <w:vAlign w:val="center"/>
          </w:tcPr>
          <w:p w14:paraId="6E0DC22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包装饮用水</w:t>
            </w:r>
          </w:p>
        </w:tc>
        <w:tc>
          <w:tcPr>
            <w:tcW w:w="461" w:type="pct"/>
            <w:noWrap w:val="0"/>
            <w:vAlign w:val="center"/>
          </w:tcPr>
          <w:p w14:paraId="2F2C0D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饮用天然矿泉水</w:t>
            </w:r>
          </w:p>
        </w:tc>
        <w:tc>
          <w:tcPr>
            <w:tcW w:w="1557" w:type="pct"/>
            <w:noWrap w:val="0"/>
            <w:vAlign w:val="center"/>
          </w:tcPr>
          <w:p w14:paraId="15EE7F7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溴酸盐、硝酸盐（以NO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vertAlign w:val="superscript"/>
                <w:lang w:val="en-US" w:eastAsia="zh-CN" w:bidi="ar"/>
              </w:rPr>
              <w:t>-</w:t>
            </w:r>
            <w:r>
              <w:rPr>
                <w:rFonts w:hint="eastAsia" w:ascii="宋体" w:hAnsi="宋体" w:eastAsia="宋体" w:cs="宋体"/>
                <w:i w:val="0"/>
                <w:iCs w:val="0"/>
                <w:color w:val="000000"/>
                <w:kern w:val="0"/>
                <w:sz w:val="21"/>
                <w:szCs w:val="21"/>
                <w:u w:val="none"/>
                <w:lang w:val="en-US" w:eastAsia="zh-CN" w:bidi="ar"/>
              </w:rPr>
              <w:t>计）、亚硝酸盐（以NO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vertAlign w:val="superscript"/>
                <w:lang w:val="en-US" w:eastAsia="zh-CN" w:bidi="ar"/>
              </w:rPr>
              <w:t>-</w:t>
            </w:r>
            <w:r>
              <w:rPr>
                <w:rFonts w:hint="eastAsia" w:ascii="宋体" w:hAnsi="宋体" w:eastAsia="宋体" w:cs="宋体"/>
                <w:i w:val="0"/>
                <w:iCs w:val="0"/>
                <w:color w:val="000000"/>
                <w:kern w:val="0"/>
                <w:sz w:val="21"/>
                <w:szCs w:val="21"/>
                <w:u w:val="none"/>
                <w:lang w:val="en-US" w:eastAsia="zh-CN" w:bidi="ar"/>
              </w:rPr>
              <w:t>计）、大肠菌群、铜绿假单胞菌</w:t>
            </w:r>
          </w:p>
        </w:tc>
        <w:tc>
          <w:tcPr>
            <w:tcW w:w="1438" w:type="pct"/>
            <w:noWrap w:val="0"/>
            <w:vAlign w:val="center"/>
          </w:tcPr>
          <w:p w14:paraId="66E1B58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界限指标、铅（以Pb计）、总砷（以As计）、镉（以Cd计）、总汞（以Hg计）、镍</w:t>
            </w:r>
          </w:p>
        </w:tc>
      </w:tr>
      <w:tr w14:paraId="0F11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BA30AF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7AF68C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849339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E88AA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08CF86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饮用纯净水</w:t>
            </w:r>
          </w:p>
        </w:tc>
        <w:tc>
          <w:tcPr>
            <w:tcW w:w="1557" w:type="pct"/>
            <w:noWrap w:val="0"/>
            <w:vAlign w:val="center"/>
          </w:tcPr>
          <w:p w14:paraId="591BE76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亚硝酸盐（以NO₂</w:t>
            </w:r>
            <w:r>
              <w:rPr>
                <w:rFonts w:hint="eastAsia" w:ascii="宋体" w:hAnsi="宋体" w:eastAsia="宋体" w:cs="宋体"/>
                <w:i w:val="0"/>
                <w:iCs w:val="0"/>
                <w:color w:val="000000"/>
                <w:kern w:val="0"/>
                <w:sz w:val="21"/>
                <w:szCs w:val="21"/>
                <w:u w:val="none"/>
                <w:vertAlign w:val="superscript"/>
                <w:lang w:val="en-US" w:eastAsia="zh-CN" w:bidi="ar"/>
              </w:rPr>
              <w:t>-</w:t>
            </w:r>
            <w:r>
              <w:rPr>
                <w:rFonts w:hint="eastAsia" w:ascii="宋体" w:hAnsi="宋体" w:eastAsia="宋体" w:cs="宋体"/>
                <w:i w:val="0"/>
                <w:iCs w:val="0"/>
                <w:color w:val="000000"/>
                <w:kern w:val="0"/>
                <w:sz w:val="21"/>
                <w:szCs w:val="21"/>
                <w:u w:val="none"/>
                <w:lang w:val="en-US" w:eastAsia="zh-CN" w:bidi="ar"/>
              </w:rPr>
              <w:t>计）、余氯（游离氯）、大肠菌群、铜绿假单胞菌</w:t>
            </w:r>
          </w:p>
        </w:tc>
        <w:tc>
          <w:tcPr>
            <w:tcW w:w="1438" w:type="pct"/>
            <w:noWrap w:val="0"/>
            <w:vAlign w:val="center"/>
          </w:tcPr>
          <w:p w14:paraId="14D7A1E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电导率、耗氧量（以O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计）、铅（以Pb计）、总砷（以As计）、镉（以Cd计）、溴酸盐、三氯甲烷</w:t>
            </w:r>
          </w:p>
        </w:tc>
      </w:tr>
      <w:tr w14:paraId="4131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23D3AF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C942AC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3E2E16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C3F162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B286E9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其他类饮用水</w:t>
            </w:r>
          </w:p>
        </w:tc>
        <w:tc>
          <w:tcPr>
            <w:tcW w:w="1557" w:type="pct"/>
            <w:noWrap w:val="0"/>
            <w:vAlign w:val="center"/>
          </w:tcPr>
          <w:p w14:paraId="7686E9F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亚硝酸盐（以NO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vertAlign w:val="superscript"/>
                <w:lang w:val="en-US" w:eastAsia="zh-CN" w:bidi="ar"/>
              </w:rPr>
              <w:t>-</w:t>
            </w:r>
            <w:r>
              <w:rPr>
                <w:rFonts w:hint="eastAsia" w:ascii="宋体" w:hAnsi="宋体" w:eastAsia="宋体" w:cs="宋体"/>
                <w:i w:val="0"/>
                <w:iCs w:val="0"/>
                <w:color w:val="000000"/>
                <w:kern w:val="0"/>
                <w:sz w:val="21"/>
                <w:szCs w:val="21"/>
                <w:u w:val="none"/>
                <w:lang w:val="en-US" w:eastAsia="zh-CN" w:bidi="ar"/>
              </w:rPr>
              <w:t>计）、余氯（游离氯）、大肠菌群、铜绿假单胞菌</w:t>
            </w:r>
          </w:p>
        </w:tc>
        <w:tc>
          <w:tcPr>
            <w:tcW w:w="1438" w:type="pct"/>
            <w:noWrap w:val="0"/>
            <w:vAlign w:val="center"/>
          </w:tcPr>
          <w:p w14:paraId="1293ED5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耗氧量（以O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计）、铅（以Pb计）、总砷（以As计）、镉（以Cd计）、溴酸盐、三氯甲烷</w:t>
            </w:r>
          </w:p>
        </w:tc>
      </w:tr>
      <w:tr w14:paraId="5697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756CB4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39BB36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0F7E12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noWrap w:val="0"/>
            <w:vAlign w:val="center"/>
          </w:tcPr>
          <w:p w14:paraId="073389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果蔬汁类及其饮料</w:t>
            </w:r>
          </w:p>
        </w:tc>
        <w:tc>
          <w:tcPr>
            <w:tcW w:w="461" w:type="pct"/>
            <w:noWrap w:val="0"/>
            <w:vAlign w:val="center"/>
          </w:tcPr>
          <w:p w14:paraId="631339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果蔬汁类及其饮料</w:t>
            </w:r>
          </w:p>
        </w:tc>
        <w:tc>
          <w:tcPr>
            <w:tcW w:w="1557" w:type="pct"/>
            <w:noWrap w:val="0"/>
            <w:vAlign w:val="center"/>
          </w:tcPr>
          <w:p w14:paraId="00F2E14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苯甲酸及其钠盐（以苯甲酸计）、山梨酸及其钾盐（以山梨酸计）、脱氢乙酸及其钠盐（以脱氢乙酸计）、菌落总数、大肠菌群</w:t>
            </w:r>
          </w:p>
        </w:tc>
        <w:tc>
          <w:tcPr>
            <w:tcW w:w="1438" w:type="pct"/>
            <w:noWrap w:val="0"/>
            <w:vAlign w:val="center"/>
          </w:tcPr>
          <w:p w14:paraId="3529CEF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展青霉素、纳他霉素、防腐剂混合使用时各自用量占其最大使用量的比例之和、安赛蜜、甜蜜素（以环己基氨基磺酸计）、阿斯巴甜、合成着色剂（柠檬黄、新红、苋菜红、靛蓝、胭脂红、日落黄、诱惑红、亮蓝、酸性红、喹啉黄、赤藓红）、霉菌、酵母</w:t>
            </w:r>
          </w:p>
        </w:tc>
      </w:tr>
      <w:tr w14:paraId="1A7E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AA82C2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2EAD96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E28B2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74D427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蛋白饮料</w:t>
            </w:r>
          </w:p>
        </w:tc>
        <w:tc>
          <w:tcPr>
            <w:tcW w:w="461" w:type="pct"/>
            <w:noWrap w:val="0"/>
            <w:vAlign w:val="center"/>
          </w:tcPr>
          <w:p w14:paraId="0117D6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蛋白饮料</w:t>
            </w:r>
          </w:p>
        </w:tc>
        <w:tc>
          <w:tcPr>
            <w:tcW w:w="1557" w:type="pct"/>
            <w:noWrap w:val="0"/>
            <w:vAlign w:val="center"/>
          </w:tcPr>
          <w:p w14:paraId="511DF1C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蛋白质、脱氢乙酸及其钠盐（以脱氢乙酸计）、安赛蜜、甜蜜素（以环己基氨基磺酸计）</w:t>
            </w:r>
          </w:p>
        </w:tc>
        <w:tc>
          <w:tcPr>
            <w:tcW w:w="1438" w:type="pct"/>
            <w:noWrap w:val="0"/>
            <w:vAlign w:val="center"/>
          </w:tcPr>
          <w:p w14:paraId="6122DE7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乳酸菌数、氰化物（以HCN计）、三聚氰胺、阿斯巴甜、菌落总数、大肠菌群、霉菌、酵母、商业无菌</w:t>
            </w:r>
          </w:p>
        </w:tc>
      </w:tr>
      <w:tr w14:paraId="477C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640987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08" w:type="pct"/>
            <w:vMerge w:val="restart"/>
            <w:noWrap w:val="0"/>
            <w:vAlign w:val="center"/>
          </w:tcPr>
          <w:p w14:paraId="102D6D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饮料</w:t>
            </w:r>
          </w:p>
        </w:tc>
        <w:tc>
          <w:tcPr>
            <w:tcW w:w="423" w:type="pct"/>
            <w:vMerge w:val="restart"/>
            <w:noWrap w:val="0"/>
            <w:vAlign w:val="center"/>
          </w:tcPr>
          <w:p w14:paraId="321C9AD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饮料</w:t>
            </w:r>
          </w:p>
        </w:tc>
        <w:tc>
          <w:tcPr>
            <w:tcW w:w="455" w:type="pct"/>
            <w:noWrap w:val="0"/>
            <w:vAlign w:val="center"/>
          </w:tcPr>
          <w:p w14:paraId="4701537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碳酸饮料（汽水）</w:t>
            </w:r>
          </w:p>
        </w:tc>
        <w:tc>
          <w:tcPr>
            <w:tcW w:w="461" w:type="pct"/>
            <w:noWrap w:val="0"/>
            <w:vAlign w:val="center"/>
          </w:tcPr>
          <w:p w14:paraId="1CE8C4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碳酸饮料（汽水）</w:t>
            </w:r>
          </w:p>
        </w:tc>
        <w:tc>
          <w:tcPr>
            <w:tcW w:w="1557" w:type="pct"/>
            <w:noWrap w:val="0"/>
            <w:vAlign w:val="center"/>
          </w:tcPr>
          <w:p w14:paraId="2DF759C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二氧化碳气容量、苯甲酸及其钠盐（以苯甲酸计）、山梨酸及其钾盐（以山梨酸计）</w:t>
            </w:r>
          </w:p>
        </w:tc>
        <w:tc>
          <w:tcPr>
            <w:tcW w:w="1438" w:type="pct"/>
            <w:noWrap w:val="0"/>
            <w:vAlign w:val="center"/>
          </w:tcPr>
          <w:p w14:paraId="3868D9B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防腐剂混合使用时各自用量占其最大使用量的比例之和、安赛蜜、甜蜜素（以环己基氨基磺酸计）、阿斯巴甜、菌落总数、霉菌、酵母</w:t>
            </w:r>
          </w:p>
        </w:tc>
      </w:tr>
      <w:tr w14:paraId="14AD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3258EA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685B3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538871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58C995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茶饮料</w:t>
            </w:r>
          </w:p>
        </w:tc>
        <w:tc>
          <w:tcPr>
            <w:tcW w:w="461" w:type="pct"/>
            <w:noWrap w:val="0"/>
            <w:vAlign w:val="center"/>
          </w:tcPr>
          <w:p w14:paraId="7EA3B6F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茶饮料</w:t>
            </w:r>
          </w:p>
        </w:tc>
        <w:tc>
          <w:tcPr>
            <w:tcW w:w="1557" w:type="pct"/>
            <w:noWrap w:val="0"/>
            <w:vAlign w:val="center"/>
          </w:tcPr>
          <w:p w14:paraId="21D95C0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茶多酚、咖啡因、脱氢乙酸及其钠盐（以脱氢乙酸计）</w:t>
            </w:r>
          </w:p>
        </w:tc>
        <w:tc>
          <w:tcPr>
            <w:tcW w:w="1438" w:type="pct"/>
            <w:noWrap w:val="0"/>
            <w:vAlign w:val="center"/>
          </w:tcPr>
          <w:p w14:paraId="51CCBE4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安赛蜜、甜蜜素（以环己基氨基磺酸计）、阿斯巴甜、菌落总数</w:t>
            </w:r>
          </w:p>
        </w:tc>
      </w:tr>
      <w:tr w14:paraId="05FB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CDA211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5522CB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4D5AF4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7CE7DB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固体饮料</w:t>
            </w:r>
          </w:p>
        </w:tc>
        <w:tc>
          <w:tcPr>
            <w:tcW w:w="461" w:type="pct"/>
            <w:noWrap w:val="0"/>
            <w:vAlign w:val="center"/>
          </w:tcPr>
          <w:p w14:paraId="3BFAC78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固体饮料</w:t>
            </w:r>
          </w:p>
        </w:tc>
        <w:tc>
          <w:tcPr>
            <w:tcW w:w="1557" w:type="pct"/>
            <w:noWrap w:val="0"/>
            <w:vAlign w:val="center"/>
          </w:tcPr>
          <w:p w14:paraId="7FEDF46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苯甲酸及其钠盐（以苯甲酸计）、山梨酸及其钾盐（以山梨酸计）、合成着色剂（柠檬黄、新红、苋菜红、靛蓝、胭脂红、日落黄、诱惑红、亮蓝、酸性红、喹啉黄、赤藓红）、菌落总数、大肠菌群、霉菌</w:t>
            </w:r>
          </w:p>
        </w:tc>
        <w:tc>
          <w:tcPr>
            <w:tcW w:w="1438" w:type="pct"/>
            <w:noWrap w:val="0"/>
            <w:vAlign w:val="center"/>
          </w:tcPr>
          <w:p w14:paraId="11AF6BB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质、乳酸菌数、铅（以Pb计）、氰化物（以HCN计）、防腐剂混合使用时各自用量占其最大使用量的比例之和、糖精钠（以糖精计）、安赛蜜、甜蜜素（以环己基氨基磺酸计）、阿斯巴甜、相同色泽着色剂混合使用时各自用量占其最大使用量的比例之和</w:t>
            </w:r>
          </w:p>
        </w:tc>
      </w:tr>
      <w:tr w14:paraId="087F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51288A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77E48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18CEFE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6F0039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其他饮料</w:t>
            </w:r>
          </w:p>
        </w:tc>
        <w:tc>
          <w:tcPr>
            <w:tcW w:w="461" w:type="pct"/>
            <w:noWrap w:val="0"/>
            <w:vAlign w:val="center"/>
          </w:tcPr>
          <w:p w14:paraId="2C2E04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其他饮料</w:t>
            </w:r>
          </w:p>
        </w:tc>
        <w:tc>
          <w:tcPr>
            <w:tcW w:w="1557" w:type="pct"/>
            <w:noWrap w:val="0"/>
            <w:vAlign w:val="center"/>
          </w:tcPr>
          <w:p w14:paraId="7A98901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苯甲酸及其钠盐（以苯甲酸计）、山梨酸及其钾盐（以山梨酸计）、脱氢乙酸及其钠盐（以脱氢乙酸计）、菌落总数、大肠菌群、霉菌</w:t>
            </w:r>
          </w:p>
        </w:tc>
        <w:tc>
          <w:tcPr>
            <w:tcW w:w="1438" w:type="pct"/>
            <w:noWrap w:val="0"/>
            <w:vAlign w:val="center"/>
          </w:tcPr>
          <w:p w14:paraId="0CE063D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腐剂混合使用时各自用量占其最大使用量的比例之和、糖精钠（以糖精计）、安赛蜜、甜蜜素（以环己基氨基磺酸计）、阿斯巴甜、合成着色剂（柠檬黄、新红、苋菜红、靛蓝、胭脂红、日落黄、诱惑红、亮蓝、酸性红、喹啉黄、赤藓红）、酵母</w:t>
            </w:r>
          </w:p>
        </w:tc>
      </w:tr>
      <w:tr w14:paraId="50D8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028CEA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08" w:type="pct"/>
            <w:vMerge w:val="restart"/>
            <w:noWrap w:val="0"/>
            <w:vAlign w:val="center"/>
          </w:tcPr>
          <w:p w14:paraId="1ED7FD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方便食品</w:t>
            </w:r>
          </w:p>
        </w:tc>
        <w:tc>
          <w:tcPr>
            <w:tcW w:w="423" w:type="pct"/>
            <w:vMerge w:val="restart"/>
            <w:noWrap w:val="0"/>
            <w:vAlign w:val="center"/>
          </w:tcPr>
          <w:p w14:paraId="56D214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方便食品</w:t>
            </w:r>
          </w:p>
        </w:tc>
        <w:tc>
          <w:tcPr>
            <w:tcW w:w="455" w:type="pct"/>
            <w:noWrap w:val="0"/>
            <w:vAlign w:val="center"/>
          </w:tcPr>
          <w:p w14:paraId="023A51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方便面</w:t>
            </w:r>
          </w:p>
        </w:tc>
        <w:tc>
          <w:tcPr>
            <w:tcW w:w="461" w:type="pct"/>
            <w:noWrap w:val="0"/>
            <w:vAlign w:val="center"/>
          </w:tcPr>
          <w:p w14:paraId="5CF75D0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油炸面、非油炸面、方便米粉（米线）、方便粉丝</w:t>
            </w:r>
          </w:p>
        </w:tc>
        <w:tc>
          <w:tcPr>
            <w:tcW w:w="1557" w:type="pct"/>
            <w:noWrap w:val="0"/>
            <w:vAlign w:val="center"/>
          </w:tcPr>
          <w:p w14:paraId="51B6B57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水分、酸价（以脂肪计）（KOH）、过氧化值（以脂肪计）</w:t>
            </w:r>
          </w:p>
        </w:tc>
        <w:tc>
          <w:tcPr>
            <w:tcW w:w="1438" w:type="pct"/>
            <w:noWrap w:val="0"/>
            <w:vAlign w:val="center"/>
          </w:tcPr>
          <w:p w14:paraId="0D1312B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菌落总数、大肠菌群、霉菌</w:t>
            </w:r>
          </w:p>
        </w:tc>
      </w:tr>
      <w:tr w14:paraId="6632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EA5E7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A2E540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FD27F3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71404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调味面制品</w:t>
            </w:r>
          </w:p>
        </w:tc>
        <w:tc>
          <w:tcPr>
            <w:tcW w:w="461" w:type="pct"/>
            <w:noWrap w:val="0"/>
            <w:vAlign w:val="center"/>
          </w:tcPr>
          <w:p w14:paraId="0497556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调味面制品</w:t>
            </w:r>
          </w:p>
        </w:tc>
        <w:tc>
          <w:tcPr>
            <w:tcW w:w="1557" w:type="pct"/>
            <w:noWrap w:val="0"/>
            <w:vAlign w:val="center"/>
          </w:tcPr>
          <w:p w14:paraId="7A798EE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苯甲酸及其钠盐（以苯甲酸计）、山梨酸及其钾盐（以山梨酸计）、脱氢乙酸及其钠盐（以脱氢乙酸计）、糖精钠（以糖精计）、甜蜜素（以环己基氨基磺酸计）</w:t>
            </w:r>
          </w:p>
        </w:tc>
        <w:tc>
          <w:tcPr>
            <w:tcW w:w="1438" w:type="pct"/>
            <w:noWrap w:val="0"/>
            <w:vAlign w:val="center"/>
          </w:tcPr>
          <w:p w14:paraId="78A3E2E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酸价（以脂肪计）（KOH）、过氧化值（以脂肪计）、安赛蜜、三氯蔗糖、合成着色剂（柠檬黄、日落黄、诱惑红、苋菜红）、菌落总数、大肠菌群、霉菌、沙门氏菌、金黄色葡萄球菌</w:t>
            </w:r>
          </w:p>
        </w:tc>
      </w:tr>
      <w:tr w14:paraId="102D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C45C0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D8D121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1D766D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noWrap w:val="0"/>
            <w:vAlign w:val="center"/>
          </w:tcPr>
          <w:p w14:paraId="2689AA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其他方便食品</w:t>
            </w:r>
          </w:p>
        </w:tc>
        <w:tc>
          <w:tcPr>
            <w:tcW w:w="461" w:type="pct"/>
            <w:noWrap w:val="0"/>
            <w:vAlign w:val="center"/>
          </w:tcPr>
          <w:p w14:paraId="0F81BD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方便粥、方便盒饭、冷面及其他熟制方便食品等</w:t>
            </w:r>
          </w:p>
        </w:tc>
        <w:tc>
          <w:tcPr>
            <w:tcW w:w="1557" w:type="pct"/>
            <w:noWrap w:val="0"/>
            <w:vAlign w:val="center"/>
          </w:tcPr>
          <w:p w14:paraId="6CA301C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苯甲酸及其钠盐（以苯甲酸计）、山梨酸及其钾盐（以山梨酸计）、脱氢乙酸及其钠盐（以脱氢乙酸计）、糖精钠（以糖精计）</w:t>
            </w:r>
          </w:p>
        </w:tc>
        <w:tc>
          <w:tcPr>
            <w:tcW w:w="1438" w:type="pct"/>
            <w:noWrap w:val="0"/>
            <w:vAlign w:val="center"/>
          </w:tcPr>
          <w:p w14:paraId="35C9202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酸价（以脂肪计）（KOH）、过氧化值（以脂肪计）、铅（以Pb计）、黄曲霉毒素B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、菌落总数、大肠菌群、霉菌、沙门氏菌、金黄色葡萄球菌</w:t>
            </w:r>
          </w:p>
        </w:tc>
      </w:tr>
      <w:tr w14:paraId="3610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16C4BBB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08" w:type="pct"/>
            <w:noWrap w:val="0"/>
            <w:vAlign w:val="center"/>
          </w:tcPr>
          <w:p w14:paraId="62290CA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饼干</w:t>
            </w:r>
          </w:p>
        </w:tc>
        <w:tc>
          <w:tcPr>
            <w:tcW w:w="423" w:type="pct"/>
            <w:noWrap w:val="0"/>
            <w:vAlign w:val="center"/>
          </w:tcPr>
          <w:p w14:paraId="6CC29F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饼干</w:t>
            </w:r>
          </w:p>
        </w:tc>
        <w:tc>
          <w:tcPr>
            <w:tcW w:w="455" w:type="pct"/>
            <w:noWrap w:val="0"/>
            <w:vAlign w:val="center"/>
          </w:tcPr>
          <w:p w14:paraId="66F2918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饼干</w:t>
            </w:r>
          </w:p>
        </w:tc>
        <w:tc>
          <w:tcPr>
            <w:tcW w:w="461" w:type="pct"/>
            <w:noWrap w:val="0"/>
            <w:vAlign w:val="center"/>
          </w:tcPr>
          <w:p w14:paraId="73080BC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饼干</w:t>
            </w:r>
          </w:p>
        </w:tc>
        <w:tc>
          <w:tcPr>
            <w:tcW w:w="1557" w:type="pct"/>
            <w:noWrap w:val="0"/>
            <w:vAlign w:val="center"/>
          </w:tcPr>
          <w:p w14:paraId="00D9C0E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酸价（以脂肪计）（KOH）、过氧化值（以脂肪计）、山梨酸及其钾盐（以山梨酸计）、铝的残留量（干样品，以Al计）、菌落总数、大肠菌群、霉菌</w:t>
            </w:r>
          </w:p>
        </w:tc>
        <w:tc>
          <w:tcPr>
            <w:tcW w:w="1438" w:type="pct"/>
            <w:noWrap w:val="0"/>
            <w:vAlign w:val="center"/>
          </w:tcPr>
          <w:p w14:paraId="2F928B9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脱氢乙酸及其钠盐（以脱氢乙酸计）、甜蜜素（以环己基氨基磺酸计）、糖精钠（以糖精计）、二氧化硫残留量、苯甲酸及其钠盐（以苯甲酸计）、合成着色剂（柠檬黄、日落黄、胭脂红、苋菜红、亮蓝、靛蓝、诱惑红）、金黄色葡萄球菌、沙门氏菌</w:t>
            </w:r>
          </w:p>
        </w:tc>
      </w:tr>
      <w:tr w14:paraId="4CFA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4B28351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08" w:type="pct"/>
            <w:vMerge w:val="restart"/>
            <w:noWrap w:val="0"/>
            <w:vAlign w:val="center"/>
          </w:tcPr>
          <w:p w14:paraId="607FA7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罐头</w:t>
            </w:r>
          </w:p>
        </w:tc>
        <w:tc>
          <w:tcPr>
            <w:tcW w:w="423" w:type="pct"/>
            <w:vMerge w:val="restart"/>
            <w:noWrap w:val="0"/>
            <w:vAlign w:val="center"/>
          </w:tcPr>
          <w:p w14:paraId="5C91CD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罐头</w:t>
            </w:r>
          </w:p>
        </w:tc>
        <w:tc>
          <w:tcPr>
            <w:tcW w:w="455" w:type="pct"/>
            <w:vMerge w:val="restart"/>
            <w:noWrap w:val="0"/>
            <w:vAlign w:val="center"/>
          </w:tcPr>
          <w:p w14:paraId="56A90F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畜禽水产罐头</w:t>
            </w:r>
          </w:p>
        </w:tc>
        <w:tc>
          <w:tcPr>
            <w:tcW w:w="461" w:type="pct"/>
            <w:noWrap w:val="0"/>
            <w:vAlign w:val="center"/>
          </w:tcPr>
          <w:p w14:paraId="07CF55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畜禽肉类罐头</w:t>
            </w:r>
          </w:p>
        </w:tc>
        <w:tc>
          <w:tcPr>
            <w:tcW w:w="1557" w:type="pct"/>
            <w:noWrap w:val="0"/>
            <w:vAlign w:val="center"/>
          </w:tcPr>
          <w:p w14:paraId="3D05EE2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苯甲酸及其钠盐（以苯甲酸计）、山梨酸及其钾盐（以山梨酸计）、商业无菌</w:t>
            </w:r>
          </w:p>
        </w:tc>
        <w:tc>
          <w:tcPr>
            <w:tcW w:w="1438" w:type="pct"/>
            <w:noWrap w:val="0"/>
            <w:vAlign w:val="center"/>
          </w:tcPr>
          <w:p w14:paraId="2FA043C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铅（以Pb计）、镉（以Cd计）、脱氢乙酸及其钠盐（以脱氢乙酸计）</w:t>
            </w:r>
          </w:p>
        </w:tc>
      </w:tr>
      <w:tr w14:paraId="5458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3C238B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898ECD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60035F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5C665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F8E801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水产动物类罐头</w:t>
            </w:r>
          </w:p>
        </w:tc>
        <w:tc>
          <w:tcPr>
            <w:tcW w:w="1557" w:type="pct"/>
            <w:noWrap w:val="0"/>
            <w:vAlign w:val="center"/>
          </w:tcPr>
          <w:p w14:paraId="4A0BB56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苯甲酸及其钠盐（以苯甲酸计）、山梨酸及其钾盐（以山梨酸计）、商业无菌</w:t>
            </w:r>
          </w:p>
        </w:tc>
        <w:tc>
          <w:tcPr>
            <w:tcW w:w="1438" w:type="pct"/>
            <w:noWrap w:val="0"/>
            <w:vAlign w:val="center"/>
          </w:tcPr>
          <w:p w14:paraId="5B26C0E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组胺、铅（以Pb计）、无机砷（以As计）、脱氢乙酸及其钠盐（以脱氢乙酸计）、糖精钠（以糖精计）、甜蜜素（以环己基氨基磺酸计）</w:t>
            </w:r>
          </w:p>
        </w:tc>
      </w:tr>
      <w:tr w14:paraId="366E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B86AC3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9C74E4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78314F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54F9197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果蔬罐头</w:t>
            </w:r>
          </w:p>
        </w:tc>
        <w:tc>
          <w:tcPr>
            <w:tcW w:w="461" w:type="pct"/>
            <w:noWrap w:val="0"/>
            <w:vAlign w:val="center"/>
          </w:tcPr>
          <w:p w14:paraId="13A1A4F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水果类罐头</w:t>
            </w:r>
          </w:p>
        </w:tc>
        <w:tc>
          <w:tcPr>
            <w:tcW w:w="1557" w:type="pct"/>
            <w:noWrap w:val="0"/>
            <w:vAlign w:val="center"/>
          </w:tcPr>
          <w:p w14:paraId="6909A97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脱氢乙酸及其钠盐（以脱氢乙酸计）、苯甲酸及其钠盐（以苯甲酸计）、山梨酸及其钾盐（以山梨酸计）、二氧化硫残留量、商业无菌</w:t>
            </w:r>
          </w:p>
        </w:tc>
        <w:tc>
          <w:tcPr>
            <w:tcW w:w="1438" w:type="pct"/>
            <w:noWrap w:val="0"/>
            <w:vAlign w:val="center"/>
          </w:tcPr>
          <w:p w14:paraId="507BB28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铅（以Pb计）、合成着色剂（柠檬黄、日落黄、苋菜红、胭脂红、赤藓红、诱惑红、亮蓝）、糖精钠（以糖精计）、甜蜜素（以环己基氨基磺酸计）</w:t>
            </w:r>
          </w:p>
        </w:tc>
      </w:tr>
      <w:tr w14:paraId="533EE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48B89D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750372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97DD47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219A0D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12481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蔬菜类罐头</w:t>
            </w:r>
          </w:p>
        </w:tc>
        <w:tc>
          <w:tcPr>
            <w:tcW w:w="1557" w:type="pct"/>
            <w:noWrap w:val="0"/>
            <w:vAlign w:val="center"/>
          </w:tcPr>
          <w:p w14:paraId="4976C19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脱氢乙酸及其钠盐（以脱氢乙酸计）、苯甲酸及其钠盐（以苯甲酸计）、山梨酸及其钾盐（以山梨酸计）、商业无菌</w:t>
            </w:r>
          </w:p>
        </w:tc>
        <w:tc>
          <w:tcPr>
            <w:tcW w:w="1438" w:type="pct"/>
            <w:noWrap w:val="0"/>
            <w:vAlign w:val="center"/>
          </w:tcPr>
          <w:p w14:paraId="6A4490E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铅（以Pb计）、合成着色剂（柠檬黄、日落黄）、乙二胺四乙酸二钠、二氧化硫残留量</w:t>
            </w:r>
          </w:p>
        </w:tc>
      </w:tr>
      <w:tr w14:paraId="5822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A2EC6A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C527D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6165A0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24439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423C0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食用菌罐头</w:t>
            </w:r>
          </w:p>
        </w:tc>
        <w:tc>
          <w:tcPr>
            <w:tcW w:w="1557" w:type="pct"/>
            <w:noWrap w:val="0"/>
            <w:vAlign w:val="center"/>
          </w:tcPr>
          <w:p w14:paraId="7CBD1A6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脱氢乙酸及其钠盐（以脱氢乙酸计）、苯甲酸及其钠盐（以苯甲酸计）、山梨酸及其钾盐（以山梨酸计）、商业无菌</w:t>
            </w:r>
          </w:p>
        </w:tc>
        <w:tc>
          <w:tcPr>
            <w:tcW w:w="1438" w:type="pct"/>
            <w:noWrap w:val="0"/>
            <w:vAlign w:val="center"/>
          </w:tcPr>
          <w:p w14:paraId="46057BF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铅（以Pb计）、乙二胺四乙酸二钠、二氧化硫残留量</w:t>
            </w:r>
          </w:p>
        </w:tc>
      </w:tr>
      <w:tr w14:paraId="3C13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41755B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68A112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8517D3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noWrap w:val="0"/>
            <w:vAlign w:val="center"/>
          </w:tcPr>
          <w:p w14:paraId="67FF4E0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其他罐头</w:t>
            </w:r>
          </w:p>
        </w:tc>
        <w:tc>
          <w:tcPr>
            <w:tcW w:w="461" w:type="pct"/>
            <w:noWrap w:val="0"/>
            <w:vAlign w:val="center"/>
          </w:tcPr>
          <w:p w14:paraId="5AC8F25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其他罐头</w:t>
            </w:r>
          </w:p>
        </w:tc>
        <w:tc>
          <w:tcPr>
            <w:tcW w:w="1557" w:type="pct"/>
            <w:noWrap w:val="0"/>
            <w:vAlign w:val="center"/>
          </w:tcPr>
          <w:p w14:paraId="2532C7A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苯甲酸及其钠盐（以苯甲酸计）、山梨酸及其钾盐（以山梨酸计）、商业无菌</w:t>
            </w:r>
          </w:p>
        </w:tc>
        <w:tc>
          <w:tcPr>
            <w:tcW w:w="1438" w:type="pct"/>
            <w:noWrap w:val="0"/>
            <w:vAlign w:val="center"/>
          </w:tcPr>
          <w:p w14:paraId="3966158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、脱氢乙酸及其钠盐（以脱氢乙酸计）、乙二胺四乙酸二钠</w:t>
            </w:r>
          </w:p>
        </w:tc>
      </w:tr>
      <w:tr w14:paraId="2801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76616D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08" w:type="pct"/>
            <w:noWrap w:val="0"/>
            <w:vAlign w:val="center"/>
          </w:tcPr>
          <w:p w14:paraId="115C8B1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冷冻饮品</w:t>
            </w:r>
          </w:p>
        </w:tc>
        <w:tc>
          <w:tcPr>
            <w:tcW w:w="423" w:type="pct"/>
            <w:noWrap w:val="0"/>
            <w:vAlign w:val="center"/>
          </w:tcPr>
          <w:p w14:paraId="7E4D8D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冷冻饮品</w:t>
            </w:r>
          </w:p>
        </w:tc>
        <w:tc>
          <w:tcPr>
            <w:tcW w:w="455" w:type="pct"/>
            <w:noWrap w:val="0"/>
            <w:vAlign w:val="center"/>
          </w:tcPr>
          <w:p w14:paraId="774FF6C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冷冻饮品</w:t>
            </w:r>
          </w:p>
        </w:tc>
        <w:tc>
          <w:tcPr>
            <w:tcW w:w="461" w:type="pct"/>
            <w:noWrap w:val="0"/>
            <w:vAlign w:val="center"/>
          </w:tcPr>
          <w:p w14:paraId="0E584B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冰淇淋、雪糕、雪泥、冰棍、食用冰、甜味冰、其他类</w:t>
            </w:r>
          </w:p>
        </w:tc>
        <w:tc>
          <w:tcPr>
            <w:tcW w:w="1557" w:type="pct"/>
            <w:noWrap w:val="0"/>
            <w:vAlign w:val="center"/>
          </w:tcPr>
          <w:p w14:paraId="339C65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蛋白质、菌落总数、大肠菌群</w:t>
            </w:r>
          </w:p>
        </w:tc>
        <w:tc>
          <w:tcPr>
            <w:tcW w:w="1438" w:type="pct"/>
            <w:noWrap w:val="0"/>
            <w:vAlign w:val="center"/>
          </w:tcPr>
          <w:p w14:paraId="2FD2ED6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甜蜜素（以环己基氨基磺酸计）、糖精钠（以糖精计）、安赛蜜、三氯蔗糖、</w:t>
            </w:r>
            <w:r>
              <w:rPr>
                <w:rFonts w:hint="eastAsia" w:ascii="宋体" w:hAnsi="宋体" w:eastAsia="宋体" w:cs="宋体"/>
                <w:i w:val="0"/>
                <w:iCs w:val="0"/>
                <w:color w:val="000000"/>
                <w:kern w:val="0"/>
                <w:sz w:val="21"/>
                <w:szCs w:val="21"/>
                <w:highlight w:val="none"/>
                <w:u w:val="none"/>
                <w:lang w:val="en-US" w:eastAsia="zh-CN" w:bidi="ar"/>
              </w:rPr>
              <w:t>合成着色剂（</w:t>
            </w:r>
            <w:r>
              <w:rPr>
                <w:rFonts w:hint="eastAsia" w:ascii="宋体" w:hAnsi="宋体" w:eastAsia="宋体" w:cs="宋体"/>
                <w:i w:val="0"/>
                <w:iCs w:val="0"/>
                <w:color w:val="000000"/>
                <w:kern w:val="0"/>
                <w:sz w:val="21"/>
                <w:szCs w:val="21"/>
                <w:u w:val="none"/>
                <w:lang w:val="en-US" w:eastAsia="zh-CN" w:bidi="ar"/>
              </w:rPr>
              <w:t>柠檬黄、日落黄）、沙门氏菌、单核细胞增生李斯特氏菌</w:t>
            </w:r>
          </w:p>
        </w:tc>
      </w:tr>
      <w:tr w14:paraId="79515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2739203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08" w:type="pct"/>
            <w:vMerge w:val="restart"/>
            <w:noWrap w:val="0"/>
            <w:vAlign w:val="center"/>
          </w:tcPr>
          <w:p w14:paraId="5E7918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速冻食品</w:t>
            </w:r>
          </w:p>
        </w:tc>
        <w:tc>
          <w:tcPr>
            <w:tcW w:w="423" w:type="pct"/>
            <w:vMerge w:val="restart"/>
            <w:noWrap w:val="0"/>
            <w:vAlign w:val="center"/>
          </w:tcPr>
          <w:p w14:paraId="576156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速冻面米食品</w:t>
            </w:r>
          </w:p>
        </w:tc>
        <w:tc>
          <w:tcPr>
            <w:tcW w:w="455" w:type="pct"/>
            <w:vMerge w:val="restart"/>
            <w:noWrap w:val="0"/>
            <w:vAlign w:val="center"/>
          </w:tcPr>
          <w:p w14:paraId="78A3A0A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速冻面米食品</w:t>
            </w:r>
          </w:p>
        </w:tc>
        <w:tc>
          <w:tcPr>
            <w:tcW w:w="461" w:type="pct"/>
            <w:noWrap w:val="0"/>
            <w:vAlign w:val="center"/>
          </w:tcPr>
          <w:p w14:paraId="2217344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速冻面米生制品</w:t>
            </w:r>
          </w:p>
        </w:tc>
        <w:tc>
          <w:tcPr>
            <w:tcW w:w="1557" w:type="pct"/>
            <w:noWrap w:val="0"/>
            <w:vAlign w:val="center"/>
          </w:tcPr>
          <w:p w14:paraId="03976EA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过氧化值（以脂肪计）、铅（以Pb计）</w:t>
            </w:r>
          </w:p>
        </w:tc>
        <w:tc>
          <w:tcPr>
            <w:tcW w:w="1438" w:type="pct"/>
            <w:noWrap w:val="0"/>
            <w:vAlign w:val="center"/>
          </w:tcPr>
          <w:p w14:paraId="5BA93CB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糖精钠（以糖精计）、甜蜜素（以环己基氨基磺酸计）、合成着色剂（柠檬黄、日落黄、苋菜红、亮蓝）</w:t>
            </w:r>
          </w:p>
        </w:tc>
      </w:tr>
      <w:tr w14:paraId="2AFF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1EC538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60F910F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405865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BB4359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0782026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速冻面米熟制品</w:t>
            </w:r>
          </w:p>
        </w:tc>
        <w:tc>
          <w:tcPr>
            <w:tcW w:w="1557" w:type="pct"/>
            <w:noWrap w:val="0"/>
            <w:vAlign w:val="center"/>
          </w:tcPr>
          <w:p w14:paraId="79B5EF8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过氧化值（以脂肪计）、铅（以Pb计）</w:t>
            </w:r>
          </w:p>
        </w:tc>
        <w:tc>
          <w:tcPr>
            <w:tcW w:w="1438" w:type="pct"/>
            <w:noWrap w:val="0"/>
            <w:vAlign w:val="center"/>
          </w:tcPr>
          <w:p w14:paraId="73C2CBD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糖精钠（以糖精计）、甜蜜素（以环己基氨基磺酸计）、合成着色剂（柠檬黄、日落黄、苋菜红、亮蓝）、菌落总数、大肠菌群、沙门氏菌、金黄色葡萄球菌</w:t>
            </w:r>
          </w:p>
        </w:tc>
      </w:tr>
      <w:tr w14:paraId="4025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248FCC7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w:t>
            </w:r>
          </w:p>
        </w:tc>
        <w:tc>
          <w:tcPr>
            <w:tcW w:w="408" w:type="pct"/>
            <w:vMerge w:val="restart"/>
            <w:noWrap w:val="0"/>
            <w:vAlign w:val="center"/>
          </w:tcPr>
          <w:p w14:paraId="4882AA8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速冻食品</w:t>
            </w:r>
          </w:p>
        </w:tc>
        <w:tc>
          <w:tcPr>
            <w:tcW w:w="423" w:type="pct"/>
            <w:vMerge w:val="restart"/>
            <w:noWrap w:val="0"/>
            <w:vAlign w:val="center"/>
          </w:tcPr>
          <w:p w14:paraId="189D477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速冻调制食品</w:t>
            </w:r>
          </w:p>
        </w:tc>
        <w:tc>
          <w:tcPr>
            <w:tcW w:w="455" w:type="pct"/>
            <w:noWrap w:val="0"/>
            <w:vAlign w:val="center"/>
          </w:tcPr>
          <w:p w14:paraId="7578E6D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速冻调理肉制品</w:t>
            </w:r>
          </w:p>
        </w:tc>
        <w:tc>
          <w:tcPr>
            <w:tcW w:w="461" w:type="pct"/>
            <w:noWrap w:val="0"/>
            <w:vAlign w:val="center"/>
          </w:tcPr>
          <w:p w14:paraId="57C03D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速冻调理肉制品</w:t>
            </w:r>
          </w:p>
        </w:tc>
        <w:tc>
          <w:tcPr>
            <w:tcW w:w="1557" w:type="pct"/>
            <w:noWrap w:val="0"/>
            <w:vAlign w:val="center"/>
          </w:tcPr>
          <w:p w14:paraId="0F60481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过氧化值（以脂肪计）、氯霉素、亚硝酸盐</w:t>
            </w:r>
          </w:p>
        </w:tc>
        <w:tc>
          <w:tcPr>
            <w:tcW w:w="1438" w:type="pct"/>
            <w:noWrap w:val="0"/>
            <w:vAlign w:val="center"/>
          </w:tcPr>
          <w:p w14:paraId="0672C9B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铅（以Pb计）、铬（以Cr计）、</w:t>
            </w:r>
            <w:r>
              <w:rPr>
                <w:rFonts w:hint="eastAsia" w:ascii="宋体" w:hAnsi="宋体" w:eastAsia="宋体" w:cs="宋体"/>
                <w:i w:val="0"/>
                <w:iCs w:val="0"/>
                <w:color w:val="000000"/>
                <w:kern w:val="0"/>
                <w:sz w:val="21"/>
                <w:szCs w:val="21"/>
                <w:highlight w:val="none"/>
                <w:u w:val="none"/>
                <w:lang w:val="en-US" w:eastAsia="zh-CN" w:bidi="ar"/>
              </w:rPr>
              <w:t>合成着色剂（胭脂红</w:t>
            </w:r>
            <w:r>
              <w:rPr>
                <w:rFonts w:hint="eastAsia" w:ascii="宋体" w:hAnsi="宋体" w:eastAsia="宋体" w:cs="宋体"/>
                <w:i w:val="0"/>
                <w:iCs w:val="0"/>
                <w:color w:val="000000"/>
                <w:kern w:val="0"/>
                <w:sz w:val="21"/>
                <w:szCs w:val="21"/>
                <w:u w:val="none"/>
                <w:lang w:val="en-US" w:eastAsia="zh-CN" w:bidi="ar"/>
              </w:rPr>
              <w:t>、柠檬黄、日落黄、诱惑红）、菌落总数、大肠菌群、沙门氏菌、金黄色葡萄球菌、单核细胞增生李斯特氏菌</w:t>
            </w:r>
          </w:p>
        </w:tc>
      </w:tr>
      <w:tr w14:paraId="2152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9185EA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700E26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0F19A9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44649D4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速冻调制水产制品</w:t>
            </w:r>
          </w:p>
        </w:tc>
        <w:tc>
          <w:tcPr>
            <w:tcW w:w="461" w:type="pct"/>
            <w:noWrap w:val="0"/>
            <w:vAlign w:val="center"/>
          </w:tcPr>
          <w:p w14:paraId="001B2AE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速冻调制水产制品</w:t>
            </w:r>
          </w:p>
        </w:tc>
        <w:tc>
          <w:tcPr>
            <w:tcW w:w="1557" w:type="pct"/>
            <w:noWrap w:val="0"/>
            <w:vAlign w:val="center"/>
          </w:tcPr>
          <w:p w14:paraId="7EA5952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6B2FABB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挥发性盐基氮、菌落总数、大肠菌群、沙门氏菌、副溶血性弧菌、单核细胞增生李斯特氏菌</w:t>
            </w:r>
          </w:p>
        </w:tc>
      </w:tr>
      <w:tr w14:paraId="6ECD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460C71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EF9A67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7800AB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速冻其他食品</w:t>
            </w:r>
          </w:p>
        </w:tc>
        <w:tc>
          <w:tcPr>
            <w:tcW w:w="455" w:type="pct"/>
            <w:noWrap w:val="0"/>
            <w:vAlign w:val="center"/>
          </w:tcPr>
          <w:p w14:paraId="382CD1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速冻谷物食品</w:t>
            </w:r>
          </w:p>
        </w:tc>
        <w:tc>
          <w:tcPr>
            <w:tcW w:w="461" w:type="pct"/>
            <w:noWrap w:val="0"/>
            <w:vAlign w:val="center"/>
          </w:tcPr>
          <w:p w14:paraId="2721E9D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速冻谷物食品</w:t>
            </w:r>
          </w:p>
        </w:tc>
        <w:tc>
          <w:tcPr>
            <w:tcW w:w="1557" w:type="pct"/>
            <w:noWrap w:val="0"/>
            <w:vAlign w:val="center"/>
          </w:tcPr>
          <w:p w14:paraId="0950968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铅（以Pb计）、黄曲霉毒素B</w:t>
            </w:r>
            <w:r>
              <w:rPr>
                <w:rFonts w:hint="eastAsia" w:ascii="宋体" w:hAnsi="宋体" w:eastAsia="宋体" w:cs="宋体"/>
                <w:i w:val="0"/>
                <w:iCs w:val="0"/>
                <w:color w:val="000000"/>
                <w:kern w:val="0"/>
                <w:sz w:val="21"/>
                <w:szCs w:val="21"/>
                <w:u w:val="none"/>
                <w:vertAlign w:val="subscript"/>
                <w:lang w:val="en-US" w:eastAsia="zh-CN" w:bidi="ar"/>
              </w:rPr>
              <w:t>1</w:t>
            </w:r>
          </w:p>
        </w:tc>
        <w:tc>
          <w:tcPr>
            <w:tcW w:w="1438" w:type="pct"/>
            <w:noWrap w:val="0"/>
            <w:vAlign w:val="center"/>
          </w:tcPr>
          <w:p w14:paraId="4ABEA76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38AC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3A290D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D3BCD6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6D89D2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62F50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速冻蔬菜制品</w:t>
            </w:r>
          </w:p>
        </w:tc>
        <w:tc>
          <w:tcPr>
            <w:tcW w:w="461" w:type="pct"/>
            <w:noWrap w:val="0"/>
            <w:vAlign w:val="center"/>
          </w:tcPr>
          <w:p w14:paraId="7CEB00C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速冻蔬菜制品</w:t>
            </w:r>
          </w:p>
        </w:tc>
        <w:tc>
          <w:tcPr>
            <w:tcW w:w="1557" w:type="pct"/>
            <w:noWrap w:val="0"/>
            <w:vAlign w:val="center"/>
          </w:tcPr>
          <w:p w14:paraId="1F64AA2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铅（以Pb计）、镉（以Cd计）</w:t>
            </w:r>
          </w:p>
        </w:tc>
        <w:tc>
          <w:tcPr>
            <w:tcW w:w="1438" w:type="pct"/>
            <w:noWrap w:val="0"/>
            <w:vAlign w:val="center"/>
          </w:tcPr>
          <w:p w14:paraId="1F7EAA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w:t>
            </w:r>
          </w:p>
        </w:tc>
      </w:tr>
      <w:tr w14:paraId="2FBB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B3C93B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660585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88A9A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0D33124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速冻水果制品</w:t>
            </w:r>
          </w:p>
        </w:tc>
        <w:tc>
          <w:tcPr>
            <w:tcW w:w="461" w:type="pct"/>
            <w:noWrap w:val="0"/>
            <w:vAlign w:val="center"/>
          </w:tcPr>
          <w:p w14:paraId="220867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速冻水果制品</w:t>
            </w:r>
          </w:p>
        </w:tc>
        <w:tc>
          <w:tcPr>
            <w:tcW w:w="1557" w:type="pct"/>
            <w:noWrap w:val="0"/>
            <w:vAlign w:val="center"/>
          </w:tcPr>
          <w:p w14:paraId="4BCD1BE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铅（以Pb计）、镉（以Cd计）</w:t>
            </w:r>
          </w:p>
        </w:tc>
        <w:tc>
          <w:tcPr>
            <w:tcW w:w="1438" w:type="pct"/>
            <w:noWrap w:val="0"/>
            <w:vAlign w:val="center"/>
          </w:tcPr>
          <w:p w14:paraId="7D456B1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菌落总数、大肠菌群、霉菌、沙门氏菌、金黄色葡萄球菌</w:t>
            </w:r>
          </w:p>
        </w:tc>
      </w:tr>
      <w:tr w14:paraId="0143E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30042D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08" w:type="pct"/>
            <w:vMerge w:val="restart"/>
            <w:noWrap w:val="0"/>
            <w:vAlign w:val="center"/>
          </w:tcPr>
          <w:p w14:paraId="2F637F1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薯类和膨化食品</w:t>
            </w:r>
          </w:p>
        </w:tc>
        <w:tc>
          <w:tcPr>
            <w:tcW w:w="423" w:type="pct"/>
            <w:vMerge w:val="restart"/>
            <w:noWrap w:val="0"/>
            <w:vAlign w:val="center"/>
          </w:tcPr>
          <w:p w14:paraId="36C227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薯类和膨化食品</w:t>
            </w:r>
          </w:p>
        </w:tc>
        <w:tc>
          <w:tcPr>
            <w:tcW w:w="455" w:type="pct"/>
            <w:noWrap w:val="0"/>
            <w:vAlign w:val="center"/>
          </w:tcPr>
          <w:p w14:paraId="4395CAE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膨化食品</w:t>
            </w:r>
          </w:p>
        </w:tc>
        <w:tc>
          <w:tcPr>
            <w:tcW w:w="461" w:type="pct"/>
            <w:noWrap w:val="0"/>
            <w:vAlign w:val="center"/>
          </w:tcPr>
          <w:p w14:paraId="4D0885C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含油型膨化食品和非含油型膨化食品</w:t>
            </w:r>
          </w:p>
        </w:tc>
        <w:tc>
          <w:tcPr>
            <w:tcW w:w="1557" w:type="pct"/>
            <w:noWrap w:val="0"/>
            <w:vAlign w:val="center"/>
          </w:tcPr>
          <w:p w14:paraId="4048730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水分、酸价（以脂肪计）（KOH）、过氧化值（以脂肪计）</w:t>
            </w:r>
          </w:p>
        </w:tc>
        <w:tc>
          <w:tcPr>
            <w:tcW w:w="1438" w:type="pct"/>
            <w:noWrap w:val="0"/>
            <w:vAlign w:val="center"/>
          </w:tcPr>
          <w:p w14:paraId="08229FB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、糖精钠（以糖精计）、苯甲酸及其钠盐（以苯甲酸计）、山梨酸及其钾盐（以山梨酸计）、甜蜜素（以环己基氨基磺酸计）、菌落总数、大肠菌群、沙门氏菌、金黄色葡萄球菌</w:t>
            </w:r>
          </w:p>
        </w:tc>
      </w:tr>
      <w:tr w14:paraId="53D4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2A8C83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872244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1EEC0D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623F36A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薯类食品</w:t>
            </w:r>
          </w:p>
        </w:tc>
        <w:tc>
          <w:tcPr>
            <w:tcW w:w="461" w:type="pct"/>
            <w:noWrap w:val="0"/>
            <w:vAlign w:val="center"/>
          </w:tcPr>
          <w:p w14:paraId="6DA86C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干制薯类</w:t>
            </w:r>
          </w:p>
        </w:tc>
        <w:tc>
          <w:tcPr>
            <w:tcW w:w="1557" w:type="pct"/>
            <w:noWrap w:val="0"/>
            <w:vAlign w:val="center"/>
          </w:tcPr>
          <w:p w14:paraId="1A7EDC0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w:t>
            </w:r>
          </w:p>
        </w:tc>
        <w:tc>
          <w:tcPr>
            <w:tcW w:w="1438" w:type="pct"/>
            <w:noWrap w:val="0"/>
            <w:vAlign w:val="center"/>
          </w:tcPr>
          <w:p w14:paraId="1511FB0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菌落总数、大肠菌群、铅（以Pb计）、沙门氏菌、金黄色葡萄球菌</w:t>
            </w:r>
          </w:p>
        </w:tc>
      </w:tr>
      <w:tr w14:paraId="7FB2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FB2E1E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91EBD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CD5A18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9635A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0651A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冷冻薯类</w:t>
            </w:r>
          </w:p>
        </w:tc>
        <w:tc>
          <w:tcPr>
            <w:tcW w:w="1557" w:type="pct"/>
            <w:noWrap w:val="0"/>
            <w:vAlign w:val="center"/>
          </w:tcPr>
          <w:p w14:paraId="399FEFE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419116D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609A1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78F8E4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3353EB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AD717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D430D0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5C297B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薯泥（酱）类</w:t>
            </w:r>
          </w:p>
        </w:tc>
        <w:tc>
          <w:tcPr>
            <w:tcW w:w="1557" w:type="pct"/>
            <w:noWrap w:val="0"/>
            <w:vAlign w:val="center"/>
          </w:tcPr>
          <w:p w14:paraId="529CFED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1171117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苯甲酸及其钠盐（以苯甲酸计）、山梨酸及其钾盐（以山梨酸计）、商业无菌、沙门氏菌、金黄色葡萄球菌</w:t>
            </w:r>
          </w:p>
        </w:tc>
      </w:tr>
      <w:tr w14:paraId="5FD92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A9D045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22537D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96058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285725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0A110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薯粉类</w:t>
            </w:r>
          </w:p>
        </w:tc>
        <w:tc>
          <w:tcPr>
            <w:tcW w:w="1557" w:type="pct"/>
            <w:noWrap w:val="0"/>
            <w:vAlign w:val="center"/>
          </w:tcPr>
          <w:p w14:paraId="6371F15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4DF0541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3023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084FAA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00E2FD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C77909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E48AF2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EF35C1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其他薯类食品</w:t>
            </w:r>
          </w:p>
        </w:tc>
        <w:tc>
          <w:tcPr>
            <w:tcW w:w="1557" w:type="pct"/>
            <w:noWrap w:val="0"/>
            <w:vAlign w:val="center"/>
          </w:tcPr>
          <w:p w14:paraId="425C585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58218FD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沙门氏菌、金黄色葡萄球菌</w:t>
            </w:r>
          </w:p>
        </w:tc>
      </w:tr>
      <w:tr w14:paraId="685C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63B5C8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408" w:type="pct"/>
            <w:noWrap w:val="0"/>
            <w:vAlign w:val="center"/>
          </w:tcPr>
          <w:p w14:paraId="3889414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糖果制品</w:t>
            </w:r>
          </w:p>
        </w:tc>
        <w:tc>
          <w:tcPr>
            <w:tcW w:w="423" w:type="pct"/>
            <w:noWrap w:val="0"/>
            <w:vAlign w:val="center"/>
          </w:tcPr>
          <w:p w14:paraId="5CBDFE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糖果制品（含巧克力及制品）</w:t>
            </w:r>
          </w:p>
        </w:tc>
        <w:tc>
          <w:tcPr>
            <w:tcW w:w="455" w:type="pct"/>
            <w:noWrap w:val="0"/>
            <w:vAlign w:val="center"/>
          </w:tcPr>
          <w:p w14:paraId="5E46574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糖果</w:t>
            </w:r>
          </w:p>
        </w:tc>
        <w:tc>
          <w:tcPr>
            <w:tcW w:w="461" w:type="pct"/>
            <w:noWrap w:val="0"/>
            <w:vAlign w:val="center"/>
          </w:tcPr>
          <w:p w14:paraId="7E69210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糖果</w:t>
            </w:r>
          </w:p>
        </w:tc>
        <w:tc>
          <w:tcPr>
            <w:tcW w:w="1557" w:type="pct"/>
            <w:noWrap w:val="0"/>
            <w:vAlign w:val="center"/>
          </w:tcPr>
          <w:p w14:paraId="1BB8D4D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合成着色剂（柠檬黄、新红、苋菜红、靛蓝、胭脂红、日落黄、诱惑红、亮蓝、酸性红、喹啉黄、赤藓红）、二氧化硫残留量</w:t>
            </w:r>
          </w:p>
        </w:tc>
        <w:tc>
          <w:tcPr>
            <w:tcW w:w="1438" w:type="pct"/>
            <w:noWrap w:val="0"/>
            <w:vAlign w:val="center"/>
          </w:tcPr>
          <w:p w14:paraId="08A3509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铅（以Pb计）、糖精钠（以糖精计）、甜蜜素（以环己基氨基磺酸计）、相同色泽着色剂混合使用时各自用量占其最大使用量的比例之和、菌落总数、大肠菌群</w:t>
            </w:r>
          </w:p>
        </w:tc>
      </w:tr>
      <w:tr w14:paraId="679E4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01631E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w:t>
            </w:r>
          </w:p>
        </w:tc>
        <w:tc>
          <w:tcPr>
            <w:tcW w:w="408" w:type="pct"/>
            <w:vMerge w:val="restart"/>
            <w:noWrap w:val="0"/>
            <w:vAlign w:val="center"/>
          </w:tcPr>
          <w:p w14:paraId="1828BB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糖果制品</w:t>
            </w:r>
          </w:p>
        </w:tc>
        <w:tc>
          <w:tcPr>
            <w:tcW w:w="423" w:type="pct"/>
            <w:vMerge w:val="restart"/>
            <w:noWrap w:val="0"/>
            <w:vAlign w:val="center"/>
          </w:tcPr>
          <w:p w14:paraId="7A45D7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糖果制品（含巧克力及制品）</w:t>
            </w:r>
          </w:p>
        </w:tc>
        <w:tc>
          <w:tcPr>
            <w:tcW w:w="455" w:type="pct"/>
            <w:noWrap w:val="0"/>
            <w:vAlign w:val="center"/>
          </w:tcPr>
          <w:p w14:paraId="208B0E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巧克力及巧克力制品</w:t>
            </w:r>
          </w:p>
        </w:tc>
        <w:tc>
          <w:tcPr>
            <w:tcW w:w="461" w:type="pct"/>
            <w:noWrap w:val="0"/>
            <w:vAlign w:val="center"/>
          </w:tcPr>
          <w:p w14:paraId="72E2DBB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巧克力、巧克力制品、代可可脂巧克力及代可可脂巧克力制品</w:t>
            </w:r>
          </w:p>
        </w:tc>
        <w:tc>
          <w:tcPr>
            <w:tcW w:w="1557" w:type="pct"/>
            <w:noWrap w:val="0"/>
            <w:vAlign w:val="center"/>
          </w:tcPr>
          <w:p w14:paraId="66C9B72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沙门氏菌</w:t>
            </w:r>
          </w:p>
        </w:tc>
        <w:tc>
          <w:tcPr>
            <w:tcW w:w="1438" w:type="pct"/>
            <w:noWrap w:val="0"/>
            <w:vAlign w:val="center"/>
          </w:tcPr>
          <w:p w14:paraId="0AAFB3C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w:t>
            </w:r>
          </w:p>
        </w:tc>
      </w:tr>
      <w:tr w14:paraId="04BD5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B30EE9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30B588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1ABFA0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noWrap w:val="0"/>
            <w:vAlign w:val="center"/>
          </w:tcPr>
          <w:p w14:paraId="56D6157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果冻</w:t>
            </w:r>
          </w:p>
        </w:tc>
        <w:tc>
          <w:tcPr>
            <w:tcW w:w="461" w:type="pct"/>
            <w:noWrap w:val="0"/>
            <w:vAlign w:val="center"/>
          </w:tcPr>
          <w:p w14:paraId="1286C40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果冻</w:t>
            </w:r>
          </w:p>
        </w:tc>
        <w:tc>
          <w:tcPr>
            <w:tcW w:w="1557" w:type="pct"/>
            <w:noWrap w:val="0"/>
            <w:vAlign w:val="center"/>
          </w:tcPr>
          <w:p w14:paraId="1F7FBC8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山梨酸及其钾盐（以山梨酸计）、苯甲酸及其钠盐（以苯甲酸计）、菌落总数、大肠菌群</w:t>
            </w:r>
          </w:p>
        </w:tc>
        <w:tc>
          <w:tcPr>
            <w:tcW w:w="1438" w:type="pct"/>
            <w:noWrap w:val="0"/>
            <w:vAlign w:val="center"/>
          </w:tcPr>
          <w:p w14:paraId="405B7F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糖精钠（以糖精计）、甜蜜素（以环己基氨基磺酸计）、安赛蜜、霉菌、酵母</w:t>
            </w:r>
          </w:p>
        </w:tc>
      </w:tr>
      <w:tr w14:paraId="6B60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24FD88B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08" w:type="pct"/>
            <w:vMerge w:val="restart"/>
            <w:noWrap w:val="0"/>
            <w:vAlign w:val="center"/>
          </w:tcPr>
          <w:p w14:paraId="63F8F2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茶叶及相关制品</w:t>
            </w:r>
          </w:p>
        </w:tc>
        <w:tc>
          <w:tcPr>
            <w:tcW w:w="423" w:type="pct"/>
            <w:noWrap w:val="0"/>
            <w:vAlign w:val="center"/>
          </w:tcPr>
          <w:p w14:paraId="5F1FB02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茶叶</w:t>
            </w:r>
          </w:p>
        </w:tc>
        <w:tc>
          <w:tcPr>
            <w:tcW w:w="455" w:type="pct"/>
            <w:noWrap w:val="0"/>
            <w:vAlign w:val="center"/>
          </w:tcPr>
          <w:p w14:paraId="7F8966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茶叶</w:t>
            </w:r>
          </w:p>
        </w:tc>
        <w:tc>
          <w:tcPr>
            <w:tcW w:w="461" w:type="pct"/>
            <w:noWrap w:val="0"/>
            <w:vAlign w:val="center"/>
          </w:tcPr>
          <w:p w14:paraId="6C78C4C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绿茶、红茶、乌龙茶、黄茶、白茶、黑茶、花茶、袋泡茶、紧压茶</w:t>
            </w:r>
          </w:p>
        </w:tc>
        <w:tc>
          <w:tcPr>
            <w:tcW w:w="1557" w:type="pct"/>
            <w:noWrap w:val="0"/>
            <w:vAlign w:val="center"/>
          </w:tcPr>
          <w:p w14:paraId="58E1BC5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1CDA3F8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甘膦、吡虫啉、乙酰甲胺磷、联苯菊酯、灭多威、三氯杀螨醇、氰戊菊酯和S-氰戊菊酯、甲拌磷、克百威、水胺硫磷、氧乐果、毒死蜱、啶虫脒、多菌灵、茚虫威、合成着色剂（柠檬黄、日落黄、胭脂红、亮蓝）</w:t>
            </w:r>
          </w:p>
        </w:tc>
      </w:tr>
      <w:tr w14:paraId="4900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DAA31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8CA084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56765D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含茶制品和代用茶</w:t>
            </w:r>
          </w:p>
        </w:tc>
        <w:tc>
          <w:tcPr>
            <w:tcW w:w="455" w:type="pct"/>
            <w:noWrap w:val="0"/>
            <w:vAlign w:val="center"/>
          </w:tcPr>
          <w:p w14:paraId="3609DA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含茶制品</w:t>
            </w:r>
          </w:p>
        </w:tc>
        <w:tc>
          <w:tcPr>
            <w:tcW w:w="461" w:type="pct"/>
            <w:noWrap w:val="0"/>
            <w:vAlign w:val="center"/>
          </w:tcPr>
          <w:p w14:paraId="0D8C5B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速溶茶类、其他含茶制品</w:t>
            </w:r>
          </w:p>
        </w:tc>
        <w:tc>
          <w:tcPr>
            <w:tcW w:w="1557" w:type="pct"/>
            <w:noWrap w:val="0"/>
            <w:vAlign w:val="center"/>
          </w:tcPr>
          <w:p w14:paraId="1033AE3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7B6A952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菌落总数、霉菌、霉菌及酵母</w:t>
            </w:r>
          </w:p>
        </w:tc>
      </w:tr>
      <w:tr w14:paraId="617C6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193293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0D4B70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708282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2815AA3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代用茶</w:t>
            </w:r>
          </w:p>
        </w:tc>
        <w:tc>
          <w:tcPr>
            <w:tcW w:w="461" w:type="pct"/>
            <w:noWrap w:val="0"/>
            <w:vAlign w:val="center"/>
          </w:tcPr>
          <w:p w14:paraId="56C723B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代用茶</w:t>
            </w:r>
          </w:p>
        </w:tc>
        <w:tc>
          <w:tcPr>
            <w:tcW w:w="1557" w:type="pct"/>
            <w:noWrap w:val="0"/>
            <w:vAlign w:val="center"/>
          </w:tcPr>
          <w:p w14:paraId="2898335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0E8E193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二氧化硫残留量、啶虫脒、克百威、毒死蜱、吡虫啉、氯氟氰菊酯和高效氯氟氰菊酯、三唑磷、霉菌</w:t>
            </w:r>
          </w:p>
        </w:tc>
      </w:tr>
      <w:tr w14:paraId="0774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009C7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08" w:type="pct"/>
            <w:vMerge w:val="restart"/>
            <w:noWrap w:val="0"/>
            <w:vAlign w:val="center"/>
          </w:tcPr>
          <w:p w14:paraId="20A3529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酒类</w:t>
            </w:r>
          </w:p>
        </w:tc>
        <w:tc>
          <w:tcPr>
            <w:tcW w:w="423" w:type="pct"/>
            <w:noWrap w:val="0"/>
            <w:vAlign w:val="center"/>
          </w:tcPr>
          <w:p w14:paraId="4BBBB2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蒸馏酒</w:t>
            </w:r>
          </w:p>
        </w:tc>
        <w:tc>
          <w:tcPr>
            <w:tcW w:w="455" w:type="pct"/>
            <w:noWrap w:val="0"/>
            <w:vAlign w:val="center"/>
          </w:tcPr>
          <w:p w14:paraId="345788B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白酒</w:t>
            </w:r>
          </w:p>
        </w:tc>
        <w:tc>
          <w:tcPr>
            <w:tcW w:w="461" w:type="pct"/>
            <w:noWrap w:val="0"/>
            <w:vAlign w:val="center"/>
          </w:tcPr>
          <w:p w14:paraId="79EC90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白酒、白酒（液态）、白酒（原酒）</w:t>
            </w:r>
          </w:p>
        </w:tc>
        <w:tc>
          <w:tcPr>
            <w:tcW w:w="1557" w:type="pct"/>
            <w:noWrap w:val="0"/>
            <w:vAlign w:val="center"/>
          </w:tcPr>
          <w:p w14:paraId="4FF9D68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酒精度、铅（以Pb计）、甲醇</w:t>
            </w:r>
          </w:p>
        </w:tc>
        <w:tc>
          <w:tcPr>
            <w:tcW w:w="1438" w:type="pct"/>
            <w:noWrap w:val="0"/>
            <w:vAlign w:val="center"/>
          </w:tcPr>
          <w:p w14:paraId="678314E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氰化物（以HCN计）、糖精钠（以糖精计）、甜蜜素（以环己基氨基磺酸计）、三氯蔗糖、安赛蜜</w:t>
            </w:r>
          </w:p>
        </w:tc>
      </w:tr>
      <w:tr w14:paraId="27BB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993467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DC2DB7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4B582A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发酵酒</w:t>
            </w:r>
          </w:p>
        </w:tc>
        <w:tc>
          <w:tcPr>
            <w:tcW w:w="455" w:type="pct"/>
            <w:noWrap w:val="0"/>
            <w:vAlign w:val="center"/>
          </w:tcPr>
          <w:p w14:paraId="38B934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黄酒</w:t>
            </w:r>
          </w:p>
        </w:tc>
        <w:tc>
          <w:tcPr>
            <w:tcW w:w="461" w:type="pct"/>
            <w:noWrap w:val="0"/>
            <w:vAlign w:val="center"/>
          </w:tcPr>
          <w:p w14:paraId="778C40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黄酒</w:t>
            </w:r>
          </w:p>
        </w:tc>
        <w:tc>
          <w:tcPr>
            <w:tcW w:w="1557" w:type="pct"/>
            <w:noWrap w:val="0"/>
            <w:vAlign w:val="center"/>
          </w:tcPr>
          <w:p w14:paraId="6A6575C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酒精度、氨基酸态氮、苯甲酸及其钠盐（以苯甲酸计）、山梨酸及其钾盐（以山梨酸计）</w:t>
            </w:r>
          </w:p>
        </w:tc>
        <w:tc>
          <w:tcPr>
            <w:tcW w:w="1438" w:type="pct"/>
            <w:noWrap w:val="0"/>
            <w:vAlign w:val="center"/>
          </w:tcPr>
          <w:p w14:paraId="67685E2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糖精钠（以糖精计）、甜蜜素（以环己基氨基磺酸计）</w:t>
            </w:r>
          </w:p>
        </w:tc>
      </w:tr>
      <w:tr w14:paraId="5826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3ED110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509099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074270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noWrap w:val="0"/>
            <w:vAlign w:val="center"/>
          </w:tcPr>
          <w:p w14:paraId="5D27CCA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啤酒</w:t>
            </w:r>
          </w:p>
        </w:tc>
        <w:tc>
          <w:tcPr>
            <w:tcW w:w="461" w:type="pct"/>
            <w:noWrap w:val="0"/>
            <w:vAlign w:val="center"/>
          </w:tcPr>
          <w:p w14:paraId="767321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啤酒</w:t>
            </w:r>
          </w:p>
        </w:tc>
        <w:tc>
          <w:tcPr>
            <w:tcW w:w="1557" w:type="pct"/>
            <w:noWrap w:val="0"/>
            <w:vAlign w:val="center"/>
          </w:tcPr>
          <w:p w14:paraId="51EA0E7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酒精度、甲醛</w:t>
            </w:r>
          </w:p>
        </w:tc>
        <w:tc>
          <w:tcPr>
            <w:tcW w:w="1438" w:type="pct"/>
            <w:noWrap w:val="0"/>
            <w:vAlign w:val="center"/>
          </w:tcPr>
          <w:p w14:paraId="42780D8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3C12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46DCA6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A3DDA3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705F05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60C3DA5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葡萄酒</w:t>
            </w:r>
          </w:p>
        </w:tc>
        <w:tc>
          <w:tcPr>
            <w:tcW w:w="461" w:type="pct"/>
            <w:noWrap w:val="0"/>
            <w:vAlign w:val="center"/>
          </w:tcPr>
          <w:p w14:paraId="2BAD864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葡萄酒</w:t>
            </w:r>
          </w:p>
        </w:tc>
        <w:tc>
          <w:tcPr>
            <w:tcW w:w="1557" w:type="pct"/>
            <w:noWrap w:val="0"/>
            <w:vAlign w:val="center"/>
          </w:tcPr>
          <w:p w14:paraId="7C05D4D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酒精度、甲醇、二氧化硫残留量</w:t>
            </w:r>
          </w:p>
        </w:tc>
        <w:tc>
          <w:tcPr>
            <w:tcW w:w="1438" w:type="pct"/>
            <w:noWrap w:val="0"/>
            <w:vAlign w:val="center"/>
          </w:tcPr>
          <w:p w14:paraId="182FA77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糖精钠（以糖精计）、甜蜜素（以环己基氨基磺酸计）、三氯蔗糖、合成着色剂（柠檬黄、日落黄、新红、胭脂红、赤藓红、苋菜红、诱惑红、酸性红、亮蓝）</w:t>
            </w:r>
          </w:p>
        </w:tc>
      </w:tr>
      <w:tr w14:paraId="7982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64A0A9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FDB7AD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21FEA1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5FB14A7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果酒</w:t>
            </w:r>
          </w:p>
        </w:tc>
        <w:tc>
          <w:tcPr>
            <w:tcW w:w="461" w:type="pct"/>
            <w:noWrap w:val="0"/>
            <w:vAlign w:val="center"/>
          </w:tcPr>
          <w:p w14:paraId="78068D5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果酒</w:t>
            </w:r>
          </w:p>
        </w:tc>
        <w:tc>
          <w:tcPr>
            <w:tcW w:w="1557" w:type="pct"/>
            <w:noWrap w:val="0"/>
            <w:vAlign w:val="center"/>
          </w:tcPr>
          <w:p w14:paraId="6FC50ED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酒精度、二氧化硫残留量</w:t>
            </w:r>
          </w:p>
        </w:tc>
        <w:tc>
          <w:tcPr>
            <w:tcW w:w="1438" w:type="pct"/>
            <w:noWrap w:val="0"/>
            <w:vAlign w:val="center"/>
          </w:tcPr>
          <w:p w14:paraId="7588D79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展青霉素、糖精钠（以糖精计）、甜蜜素（以环己基氨基磺酸计）、安赛蜜、酸性红</w:t>
            </w:r>
          </w:p>
        </w:tc>
      </w:tr>
      <w:tr w14:paraId="20F4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AFF1E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15</w:t>
            </w:r>
          </w:p>
        </w:tc>
        <w:tc>
          <w:tcPr>
            <w:tcW w:w="408" w:type="pct"/>
            <w:vMerge w:val="restart"/>
            <w:noWrap w:val="0"/>
            <w:vAlign w:val="center"/>
          </w:tcPr>
          <w:p w14:paraId="5329972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酒类</w:t>
            </w:r>
          </w:p>
        </w:tc>
        <w:tc>
          <w:tcPr>
            <w:tcW w:w="423" w:type="pct"/>
            <w:noWrap w:val="0"/>
            <w:vAlign w:val="center"/>
          </w:tcPr>
          <w:p w14:paraId="62C622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其他酒</w:t>
            </w:r>
          </w:p>
        </w:tc>
        <w:tc>
          <w:tcPr>
            <w:tcW w:w="455" w:type="pct"/>
            <w:noWrap w:val="0"/>
            <w:vAlign w:val="center"/>
          </w:tcPr>
          <w:p w14:paraId="5D7259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配制酒</w:t>
            </w:r>
          </w:p>
        </w:tc>
        <w:tc>
          <w:tcPr>
            <w:tcW w:w="461" w:type="pct"/>
            <w:noWrap w:val="0"/>
            <w:vAlign w:val="center"/>
          </w:tcPr>
          <w:p w14:paraId="6E867EF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以蒸馏酒及食用酒精为酒基的配制酒</w:t>
            </w:r>
          </w:p>
        </w:tc>
        <w:tc>
          <w:tcPr>
            <w:tcW w:w="1557" w:type="pct"/>
            <w:noWrap w:val="0"/>
            <w:vAlign w:val="center"/>
          </w:tcPr>
          <w:p w14:paraId="444C42D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酒精度、甲醇</w:t>
            </w:r>
          </w:p>
        </w:tc>
        <w:tc>
          <w:tcPr>
            <w:tcW w:w="1438" w:type="pct"/>
            <w:noWrap w:val="0"/>
            <w:vAlign w:val="center"/>
          </w:tcPr>
          <w:p w14:paraId="787EE77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氰化物（以HCN计）、甜蜜素（以环己基氨基磺酸计）、安赛蜜</w:t>
            </w:r>
          </w:p>
        </w:tc>
      </w:tr>
      <w:tr w14:paraId="2AC8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3FDD6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7379DD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restart"/>
            <w:noWrap w:val="0"/>
            <w:vAlign w:val="center"/>
          </w:tcPr>
          <w:p w14:paraId="1B41C20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其他酒</w:t>
            </w:r>
          </w:p>
        </w:tc>
        <w:tc>
          <w:tcPr>
            <w:tcW w:w="455" w:type="pct"/>
            <w:noWrap w:val="0"/>
            <w:vAlign w:val="center"/>
          </w:tcPr>
          <w:p w14:paraId="0C9F73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配制酒</w:t>
            </w:r>
          </w:p>
        </w:tc>
        <w:tc>
          <w:tcPr>
            <w:tcW w:w="461" w:type="pct"/>
            <w:noWrap w:val="0"/>
            <w:vAlign w:val="center"/>
          </w:tcPr>
          <w:p w14:paraId="4FACC87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以发酵酒为酒基的配制酒</w:t>
            </w:r>
          </w:p>
        </w:tc>
        <w:tc>
          <w:tcPr>
            <w:tcW w:w="1557" w:type="pct"/>
            <w:noWrap w:val="0"/>
            <w:vAlign w:val="center"/>
          </w:tcPr>
          <w:p w14:paraId="5F7D9F0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酒精度、苯甲酸及其钠盐（以苯甲酸计）、山梨酸及其钾盐（以山梨酸计）</w:t>
            </w:r>
          </w:p>
        </w:tc>
        <w:tc>
          <w:tcPr>
            <w:tcW w:w="1438" w:type="pct"/>
            <w:noWrap w:val="0"/>
            <w:vAlign w:val="center"/>
          </w:tcPr>
          <w:p w14:paraId="31D2ABC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甜蜜素（以环己基氨基磺酸计）、防腐剂混合使用时各自用量占其最大使用量的比例之和、安赛蜜</w:t>
            </w:r>
          </w:p>
        </w:tc>
      </w:tr>
      <w:tr w14:paraId="705EA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D00624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11F0F70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2EA6FE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875CE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其他蒸馏酒</w:t>
            </w:r>
          </w:p>
        </w:tc>
        <w:tc>
          <w:tcPr>
            <w:tcW w:w="461" w:type="pct"/>
            <w:noWrap w:val="0"/>
            <w:vAlign w:val="center"/>
          </w:tcPr>
          <w:p w14:paraId="44D126D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其他蒸馏酒</w:t>
            </w:r>
          </w:p>
        </w:tc>
        <w:tc>
          <w:tcPr>
            <w:tcW w:w="1557" w:type="pct"/>
            <w:noWrap w:val="0"/>
            <w:vAlign w:val="center"/>
          </w:tcPr>
          <w:p w14:paraId="2C623C4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酒精度、铅（以Pb计）、甲醇</w:t>
            </w:r>
          </w:p>
        </w:tc>
        <w:tc>
          <w:tcPr>
            <w:tcW w:w="1438" w:type="pct"/>
            <w:noWrap w:val="0"/>
            <w:vAlign w:val="center"/>
          </w:tcPr>
          <w:p w14:paraId="2706F33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氰化物（以HCN计）、甜蜜素（以环己基氨基磺酸计）、三氯蔗糖</w:t>
            </w:r>
          </w:p>
        </w:tc>
      </w:tr>
      <w:tr w14:paraId="7228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EBB3C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283BCC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E1EF70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276716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其他发酵酒</w:t>
            </w:r>
          </w:p>
        </w:tc>
        <w:tc>
          <w:tcPr>
            <w:tcW w:w="461" w:type="pct"/>
            <w:noWrap w:val="0"/>
            <w:vAlign w:val="center"/>
          </w:tcPr>
          <w:p w14:paraId="73B2CC4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其他发酵酒</w:t>
            </w:r>
          </w:p>
        </w:tc>
        <w:tc>
          <w:tcPr>
            <w:tcW w:w="1557" w:type="pct"/>
            <w:noWrap w:val="0"/>
            <w:vAlign w:val="center"/>
          </w:tcPr>
          <w:p w14:paraId="57D5E36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酒精度、苯甲酸及其钠盐（以苯甲酸计）、山梨酸及其钾盐（以山梨酸计）</w:t>
            </w:r>
          </w:p>
        </w:tc>
        <w:tc>
          <w:tcPr>
            <w:tcW w:w="1438" w:type="pct"/>
            <w:noWrap w:val="0"/>
            <w:vAlign w:val="center"/>
          </w:tcPr>
          <w:p w14:paraId="5FC2307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糖精钠（以糖精计）、甜蜜素（以环己基氨基磺酸计）、安赛蜜</w:t>
            </w:r>
          </w:p>
        </w:tc>
      </w:tr>
      <w:tr w14:paraId="6170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746DAC0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08" w:type="pct"/>
            <w:vMerge w:val="restart"/>
            <w:noWrap w:val="0"/>
            <w:vAlign w:val="center"/>
          </w:tcPr>
          <w:p w14:paraId="49B21F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蔬菜制品</w:t>
            </w:r>
          </w:p>
        </w:tc>
        <w:tc>
          <w:tcPr>
            <w:tcW w:w="423" w:type="pct"/>
            <w:vMerge w:val="restart"/>
            <w:noWrap w:val="0"/>
            <w:vAlign w:val="center"/>
          </w:tcPr>
          <w:p w14:paraId="45BF08C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蔬菜制品</w:t>
            </w:r>
          </w:p>
        </w:tc>
        <w:tc>
          <w:tcPr>
            <w:tcW w:w="455" w:type="pct"/>
            <w:noWrap w:val="0"/>
            <w:vAlign w:val="center"/>
          </w:tcPr>
          <w:p w14:paraId="3558D24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酱腌菜</w:t>
            </w:r>
          </w:p>
        </w:tc>
        <w:tc>
          <w:tcPr>
            <w:tcW w:w="461" w:type="pct"/>
            <w:noWrap w:val="0"/>
            <w:vAlign w:val="center"/>
          </w:tcPr>
          <w:p w14:paraId="669ADA7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酱腌菜</w:t>
            </w:r>
          </w:p>
        </w:tc>
        <w:tc>
          <w:tcPr>
            <w:tcW w:w="1557" w:type="pct"/>
            <w:noWrap w:val="0"/>
            <w:vAlign w:val="center"/>
          </w:tcPr>
          <w:p w14:paraId="6EBE3F5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计）、苯甲酸及其钠盐（以苯甲酸计）、山梨酸及其钾盐（以山梨酸计）、脱氢乙酸及其钠盐（以脱氢乙酸计）</w:t>
            </w:r>
          </w:p>
        </w:tc>
        <w:tc>
          <w:tcPr>
            <w:tcW w:w="1438" w:type="pct"/>
            <w:noWrap w:val="0"/>
            <w:vAlign w:val="center"/>
          </w:tcPr>
          <w:p w14:paraId="18CF015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铅（以Pb计）、糖精钠（以糖精计）、甜蜜素（以环己基氨基磺酸计）、安赛蜜、二氧化硫残留量、防腐剂混合使用时各自用量占其最大使用量的比例之和、合成着色剂（柠檬黄、日落黄、诱惑红）、大肠菌群</w:t>
            </w:r>
          </w:p>
        </w:tc>
      </w:tr>
      <w:tr w14:paraId="686DE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50726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8CAA74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0C4E0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noWrap w:val="0"/>
            <w:vAlign w:val="center"/>
          </w:tcPr>
          <w:p w14:paraId="0D4F63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蔬菜干制品</w:t>
            </w:r>
          </w:p>
        </w:tc>
        <w:tc>
          <w:tcPr>
            <w:tcW w:w="461" w:type="pct"/>
            <w:noWrap w:val="0"/>
            <w:vAlign w:val="center"/>
          </w:tcPr>
          <w:p w14:paraId="758389F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蔬菜干制品</w:t>
            </w:r>
          </w:p>
        </w:tc>
        <w:tc>
          <w:tcPr>
            <w:tcW w:w="1557" w:type="pct"/>
            <w:noWrap w:val="0"/>
            <w:vAlign w:val="center"/>
          </w:tcPr>
          <w:p w14:paraId="0CEDA05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w:t>
            </w:r>
          </w:p>
        </w:tc>
        <w:tc>
          <w:tcPr>
            <w:tcW w:w="1438" w:type="pct"/>
            <w:noWrap w:val="0"/>
            <w:vAlign w:val="center"/>
          </w:tcPr>
          <w:p w14:paraId="386A5AE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铅（以Pb计）、苯甲酸及其钠盐（以苯甲酸计）、山梨酸及其钾盐（以山梨酸计）、合成着色剂（柠檬黄、日落黄、胭脂红、苋菜红、亮蓝）</w:t>
            </w:r>
          </w:p>
        </w:tc>
      </w:tr>
      <w:tr w14:paraId="312A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C69307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3E8B2C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9F22F5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0E3DD7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其他蔬菜制品</w:t>
            </w:r>
          </w:p>
        </w:tc>
        <w:tc>
          <w:tcPr>
            <w:tcW w:w="461" w:type="pct"/>
            <w:noWrap w:val="0"/>
            <w:vAlign w:val="center"/>
          </w:tcPr>
          <w:p w14:paraId="4A14E44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其他蔬菜制品</w:t>
            </w:r>
          </w:p>
        </w:tc>
        <w:tc>
          <w:tcPr>
            <w:tcW w:w="1557" w:type="pct"/>
            <w:noWrap w:val="0"/>
            <w:vAlign w:val="center"/>
          </w:tcPr>
          <w:p w14:paraId="1B8CA0E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w:t>
            </w:r>
          </w:p>
        </w:tc>
        <w:tc>
          <w:tcPr>
            <w:tcW w:w="1438" w:type="pct"/>
            <w:noWrap w:val="0"/>
            <w:vAlign w:val="center"/>
          </w:tcPr>
          <w:p w14:paraId="4A0EBE8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铅（以Pb计）、苯甲酸及其钠盐（以苯甲酸计）、山梨酸及其钾盐（以山梨酸计）、脱氢乙酸及其钠盐（以脱氢乙酸计）</w:t>
            </w:r>
          </w:p>
        </w:tc>
      </w:tr>
      <w:tr w14:paraId="62C9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D221B1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27D3A4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097728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0B719FE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食用菌制品</w:t>
            </w:r>
          </w:p>
        </w:tc>
        <w:tc>
          <w:tcPr>
            <w:tcW w:w="461" w:type="pct"/>
            <w:noWrap w:val="0"/>
            <w:vAlign w:val="center"/>
          </w:tcPr>
          <w:p w14:paraId="72487A6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干制食用菌</w:t>
            </w:r>
          </w:p>
        </w:tc>
        <w:tc>
          <w:tcPr>
            <w:tcW w:w="1557" w:type="pct"/>
            <w:noWrap w:val="0"/>
            <w:vAlign w:val="center"/>
          </w:tcPr>
          <w:p w14:paraId="7C937DB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铅（以Pb计）、镉（以Cd计）</w:t>
            </w:r>
          </w:p>
        </w:tc>
        <w:tc>
          <w:tcPr>
            <w:tcW w:w="1438" w:type="pct"/>
            <w:noWrap w:val="0"/>
            <w:vAlign w:val="center"/>
          </w:tcPr>
          <w:p w14:paraId="491238D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总汞（以Hg计）、甲基汞（以Hg计）、总砷（以As计）、无机砷（以As计）</w:t>
            </w:r>
          </w:p>
        </w:tc>
      </w:tr>
      <w:tr w14:paraId="37CB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89BA40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49AFF9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4F381E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12264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5CE72F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腌渍食用菌</w:t>
            </w:r>
          </w:p>
        </w:tc>
        <w:tc>
          <w:tcPr>
            <w:tcW w:w="1557" w:type="pct"/>
            <w:noWrap w:val="0"/>
            <w:vAlign w:val="center"/>
          </w:tcPr>
          <w:p w14:paraId="2C6A9DF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2E7C1FA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防腐剂混合使用时各自用量占其最大使用量的比例之和</w:t>
            </w:r>
          </w:p>
        </w:tc>
      </w:tr>
      <w:tr w14:paraId="26094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44177D2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08" w:type="pct"/>
            <w:noWrap w:val="0"/>
            <w:vAlign w:val="center"/>
          </w:tcPr>
          <w:p w14:paraId="312B59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水果制品</w:t>
            </w:r>
          </w:p>
        </w:tc>
        <w:tc>
          <w:tcPr>
            <w:tcW w:w="423" w:type="pct"/>
            <w:noWrap w:val="0"/>
            <w:vAlign w:val="center"/>
          </w:tcPr>
          <w:p w14:paraId="7A73C6C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水果制品</w:t>
            </w:r>
          </w:p>
        </w:tc>
        <w:tc>
          <w:tcPr>
            <w:tcW w:w="455" w:type="pct"/>
            <w:noWrap w:val="0"/>
            <w:vAlign w:val="center"/>
          </w:tcPr>
          <w:p w14:paraId="5C9C44C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蜜饯</w:t>
            </w:r>
          </w:p>
        </w:tc>
        <w:tc>
          <w:tcPr>
            <w:tcW w:w="461" w:type="pct"/>
            <w:noWrap w:val="0"/>
            <w:vAlign w:val="center"/>
          </w:tcPr>
          <w:p w14:paraId="6A65473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蜜饯类、凉果类、果脯类、话化类、果糕类</w:t>
            </w:r>
          </w:p>
        </w:tc>
        <w:tc>
          <w:tcPr>
            <w:tcW w:w="1557" w:type="pct"/>
            <w:noWrap w:val="0"/>
            <w:vAlign w:val="center"/>
          </w:tcPr>
          <w:p w14:paraId="2275D54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苯甲酸及其钠盐（以苯甲酸计）、山梨酸及其钾盐（以山梨酸计）、脱氢乙酸及其钠盐（以脱氢乙酸计）、菌落总数、大肠菌群</w:t>
            </w:r>
          </w:p>
        </w:tc>
        <w:tc>
          <w:tcPr>
            <w:tcW w:w="1438" w:type="pct"/>
            <w:noWrap w:val="0"/>
            <w:vAlign w:val="center"/>
          </w:tcPr>
          <w:p w14:paraId="66CA065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防腐剂混合使用时各自用量占其最大使用量的比例之和、糖精钠（以糖精计）、甜蜜素（以环己基氨基磺酸计）、安赛蜜、二氧化硫残留量、合成着色剂（亮蓝、柠檬黄、日落黄、苋菜红、胭脂红、诱惑红、喹啉黄）、相同色泽着色剂混合使用时各自用量占其最大使用量的比例之和、乙二胺四乙酸二钠、霉菌</w:t>
            </w:r>
          </w:p>
        </w:tc>
      </w:tr>
      <w:tr w14:paraId="5F4F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E1D97B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08" w:type="pct"/>
            <w:vMerge w:val="restart"/>
            <w:noWrap w:val="0"/>
            <w:vAlign w:val="center"/>
          </w:tcPr>
          <w:p w14:paraId="621D280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水果制品</w:t>
            </w:r>
          </w:p>
        </w:tc>
        <w:tc>
          <w:tcPr>
            <w:tcW w:w="423" w:type="pct"/>
            <w:vMerge w:val="restart"/>
            <w:noWrap w:val="0"/>
            <w:vAlign w:val="center"/>
          </w:tcPr>
          <w:p w14:paraId="57899F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水果制品</w:t>
            </w:r>
          </w:p>
        </w:tc>
        <w:tc>
          <w:tcPr>
            <w:tcW w:w="455" w:type="pct"/>
            <w:noWrap w:val="0"/>
            <w:vAlign w:val="center"/>
          </w:tcPr>
          <w:p w14:paraId="44C3E0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水果干制品</w:t>
            </w:r>
          </w:p>
        </w:tc>
        <w:tc>
          <w:tcPr>
            <w:tcW w:w="461" w:type="pct"/>
            <w:noWrap w:val="0"/>
            <w:vAlign w:val="center"/>
          </w:tcPr>
          <w:p w14:paraId="60A97DC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水果干制品（含干枸杞）</w:t>
            </w:r>
          </w:p>
        </w:tc>
        <w:tc>
          <w:tcPr>
            <w:tcW w:w="1557" w:type="pct"/>
            <w:noWrap w:val="0"/>
            <w:vAlign w:val="center"/>
          </w:tcPr>
          <w:p w14:paraId="666FCEC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48F6579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啶虫脒、吡虫啉、克百威、氯氟氰菊酯和高效氯氟氰菊酯、氯氰菊酯和高效氯氰菊酯、苯甲酸及其钠盐（以苯甲酸计）、山梨酸及其钾盐（以山梨酸计）、脱氢乙酸及其钠盐（以脱氢乙酸计）、糖精钠（以糖精计）、二氧化硫残留量、合成着色剂（亮蓝、柠檬黄、日落黄、苋菜红、胭脂红、诱惑红、喹啉黄）、菌落总数、大肠菌群、霉菌</w:t>
            </w:r>
          </w:p>
        </w:tc>
      </w:tr>
      <w:tr w14:paraId="1AAE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AFE1F9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894F5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564F2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86FA39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果酱</w:t>
            </w:r>
          </w:p>
        </w:tc>
        <w:tc>
          <w:tcPr>
            <w:tcW w:w="461" w:type="pct"/>
            <w:noWrap w:val="0"/>
            <w:vAlign w:val="center"/>
          </w:tcPr>
          <w:p w14:paraId="2AAF048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果酱</w:t>
            </w:r>
          </w:p>
        </w:tc>
        <w:tc>
          <w:tcPr>
            <w:tcW w:w="1557" w:type="pct"/>
            <w:noWrap w:val="0"/>
            <w:vAlign w:val="center"/>
          </w:tcPr>
          <w:p w14:paraId="059BAB9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30071F5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脱氢乙酸及其钠盐（以脱氢乙酸计）、菌落总数、大肠菌群、霉菌、商业无菌</w:t>
            </w:r>
          </w:p>
        </w:tc>
      </w:tr>
      <w:tr w14:paraId="258D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0B305B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408" w:type="pct"/>
            <w:vMerge w:val="restart"/>
            <w:noWrap w:val="0"/>
            <w:vAlign w:val="center"/>
          </w:tcPr>
          <w:p w14:paraId="7D4AA79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423" w:type="pct"/>
            <w:vMerge w:val="restart"/>
            <w:noWrap w:val="0"/>
            <w:vAlign w:val="center"/>
          </w:tcPr>
          <w:p w14:paraId="4AC5AB8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455" w:type="pct"/>
            <w:vMerge w:val="restart"/>
            <w:noWrap w:val="0"/>
            <w:vAlign w:val="center"/>
          </w:tcPr>
          <w:p w14:paraId="1627C0E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炒货食品及坚果制品（烘炒类、油炸类、其他类）</w:t>
            </w:r>
          </w:p>
        </w:tc>
        <w:tc>
          <w:tcPr>
            <w:tcW w:w="461" w:type="pct"/>
            <w:noWrap w:val="0"/>
            <w:vAlign w:val="center"/>
          </w:tcPr>
          <w:p w14:paraId="4795712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开心果、杏仁、扁桃仁、松仁、瓜子</w:t>
            </w:r>
          </w:p>
        </w:tc>
        <w:tc>
          <w:tcPr>
            <w:tcW w:w="1557" w:type="pct"/>
            <w:noWrap w:val="0"/>
            <w:vAlign w:val="center"/>
          </w:tcPr>
          <w:p w14:paraId="642DC4D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酸价（以脂肪计）（KOH）、过氧化值（以脂肪计）、糖精钠（以糖精计）、甜蜜素（以环己基氨基磺酸计）、大肠菌群、霉菌</w:t>
            </w:r>
          </w:p>
        </w:tc>
        <w:tc>
          <w:tcPr>
            <w:tcW w:w="1438" w:type="pct"/>
            <w:noWrap w:val="0"/>
            <w:vAlign w:val="center"/>
          </w:tcPr>
          <w:p w14:paraId="31CDF34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、苯甲酸及其钠盐（以苯甲酸计）、山梨酸及其钾盐（以山梨酸计）、脱氢乙酸及其钠盐（以脱氢乙酸计）、二氧化硫残留量、安赛蜜</w:t>
            </w:r>
          </w:p>
        </w:tc>
      </w:tr>
      <w:tr w14:paraId="47AAC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521370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11D68F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12CAAE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E1AF31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964F2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其他炒货食品及坚果制品</w:t>
            </w:r>
          </w:p>
        </w:tc>
        <w:tc>
          <w:tcPr>
            <w:tcW w:w="1557" w:type="pct"/>
            <w:noWrap w:val="0"/>
            <w:vAlign w:val="center"/>
          </w:tcPr>
          <w:p w14:paraId="419F535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酸价（以脂肪计）（KOH）、过氧化值（以脂肪计）、糖精钠（以糖精计）、甜蜜素（以环己基氨基磺酸计）、大肠菌群、霉菌</w:t>
            </w:r>
          </w:p>
        </w:tc>
        <w:tc>
          <w:tcPr>
            <w:tcW w:w="1438" w:type="pct"/>
            <w:noWrap w:val="0"/>
            <w:vAlign w:val="center"/>
          </w:tcPr>
          <w:p w14:paraId="2F1FE67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、苯甲酸及其钠盐（以苯甲酸计）、山梨酸及其钾盐（以山梨酸计）、脱氢乙酸及其钠盐（以脱氢乙酸计）、二氧化硫残留量、安赛蜜</w:t>
            </w:r>
          </w:p>
        </w:tc>
      </w:tr>
      <w:tr w14:paraId="6816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81614B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408" w:type="pct"/>
            <w:vMerge w:val="restart"/>
            <w:noWrap w:val="0"/>
            <w:vAlign w:val="center"/>
          </w:tcPr>
          <w:p w14:paraId="7D14750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蛋制品</w:t>
            </w:r>
          </w:p>
        </w:tc>
        <w:tc>
          <w:tcPr>
            <w:tcW w:w="423" w:type="pct"/>
            <w:vMerge w:val="restart"/>
            <w:noWrap w:val="0"/>
            <w:vAlign w:val="center"/>
          </w:tcPr>
          <w:p w14:paraId="089B3D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蛋制品</w:t>
            </w:r>
          </w:p>
        </w:tc>
        <w:tc>
          <w:tcPr>
            <w:tcW w:w="455" w:type="pct"/>
            <w:noWrap w:val="0"/>
            <w:vAlign w:val="center"/>
          </w:tcPr>
          <w:p w14:paraId="1C81B0D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再制蛋</w:t>
            </w:r>
          </w:p>
        </w:tc>
        <w:tc>
          <w:tcPr>
            <w:tcW w:w="461" w:type="pct"/>
            <w:noWrap w:val="0"/>
            <w:vAlign w:val="center"/>
          </w:tcPr>
          <w:p w14:paraId="1EA0AE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再制蛋</w:t>
            </w:r>
          </w:p>
        </w:tc>
        <w:tc>
          <w:tcPr>
            <w:tcW w:w="1557" w:type="pct"/>
            <w:noWrap w:val="0"/>
            <w:vAlign w:val="center"/>
          </w:tcPr>
          <w:p w14:paraId="1550459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2DB8D8B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铅（以Pb计）、菌落总数、大肠菌群、沙门氏菌</w:t>
            </w:r>
          </w:p>
        </w:tc>
      </w:tr>
      <w:tr w14:paraId="4ACF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30D92E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F1A857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C77183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5432E10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干蛋类</w:t>
            </w:r>
          </w:p>
        </w:tc>
        <w:tc>
          <w:tcPr>
            <w:tcW w:w="461" w:type="pct"/>
            <w:noWrap w:val="0"/>
            <w:vAlign w:val="center"/>
          </w:tcPr>
          <w:p w14:paraId="6A8506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干蛋类</w:t>
            </w:r>
          </w:p>
        </w:tc>
        <w:tc>
          <w:tcPr>
            <w:tcW w:w="1557" w:type="pct"/>
            <w:noWrap w:val="0"/>
            <w:vAlign w:val="center"/>
          </w:tcPr>
          <w:p w14:paraId="72C8F78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沙门氏菌</w:t>
            </w:r>
          </w:p>
        </w:tc>
        <w:tc>
          <w:tcPr>
            <w:tcW w:w="1438" w:type="pct"/>
            <w:noWrap w:val="0"/>
            <w:vAlign w:val="center"/>
          </w:tcPr>
          <w:p w14:paraId="2C7B38D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菌落总数、大肠菌群</w:t>
            </w:r>
          </w:p>
        </w:tc>
      </w:tr>
      <w:tr w14:paraId="4E58F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E2A327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EFE657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9F1FAB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65F62B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冰蛋类</w:t>
            </w:r>
          </w:p>
        </w:tc>
        <w:tc>
          <w:tcPr>
            <w:tcW w:w="461" w:type="pct"/>
            <w:noWrap w:val="0"/>
            <w:vAlign w:val="center"/>
          </w:tcPr>
          <w:p w14:paraId="0E429D3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冰蛋类</w:t>
            </w:r>
          </w:p>
        </w:tc>
        <w:tc>
          <w:tcPr>
            <w:tcW w:w="1557" w:type="pct"/>
            <w:noWrap w:val="0"/>
            <w:vAlign w:val="center"/>
          </w:tcPr>
          <w:p w14:paraId="54FA457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沙门氏菌</w:t>
            </w:r>
          </w:p>
        </w:tc>
        <w:tc>
          <w:tcPr>
            <w:tcW w:w="1438" w:type="pct"/>
            <w:noWrap w:val="0"/>
            <w:vAlign w:val="center"/>
          </w:tcPr>
          <w:p w14:paraId="0B59C72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菌落总数、大肠菌群</w:t>
            </w:r>
          </w:p>
        </w:tc>
      </w:tr>
      <w:tr w14:paraId="2D55E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B9622C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DBE5B0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1A7A1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2D5539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其他类</w:t>
            </w:r>
          </w:p>
        </w:tc>
        <w:tc>
          <w:tcPr>
            <w:tcW w:w="461" w:type="pct"/>
            <w:noWrap w:val="0"/>
            <w:vAlign w:val="center"/>
          </w:tcPr>
          <w:p w14:paraId="39FC11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其他类</w:t>
            </w:r>
          </w:p>
        </w:tc>
        <w:tc>
          <w:tcPr>
            <w:tcW w:w="1557" w:type="pct"/>
            <w:noWrap w:val="0"/>
            <w:vAlign w:val="center"/>
          </w:tcPr>
          <w:p w14:paraId="2D8026C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456821B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铅（以Pb计）、脱氢乙酸及其钠盐（以脱氢乙酸计）、菌落总数、大肠菌群、沙门氏菌</w:t>
            </w:r>
          </w:p>
        </w:tc>
      </w:tr>
      <w:tr w14:paraId="252BC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7F71898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08" w:type="pct"/>
            <w:vMerge w:val="restart"/>
            <w:noWrap w:val="0"/>
            <w:vAlign w:val="center"/>
          </w:tcPr>
          <w:p w14:paraId="3D13027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可可及焙烤咖啡产品</w:t>
            </w:r>
          </w:p>
        </w:tc>
        <w:tc>
          <w:tcPr>
            <w:tcW w:w="423" w:type="pct"/>
            <w:noWrap w:val="0"/>
            <w:vAlign w:val="center"/>
          </w:tcPr>
          <w:p w14:paraId="76326F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焙炒咖啡</w:t>
            </w:r>
          </w:p>
        </w:tc>
        <w:tc>
          <w:tcPr>
            <w:tcW w:w="455" w:type="pct"/>
            <w:noWrap w:val="0"/>
            <w:vAlign w:val="center"/>
          </w:tcPr>
          <w:p w14:paraId="0BBA4E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焙炒咖啡</w:t>
            </w:r>
          </w:p>
        </w:tc>
        <w:tc>
          <w:tcPr>
            <w:tcW w:w="461" w:type="pct"/>
            <w:noWrap w:val="0"/>
            <w:vAlign w:val="center"/>
          </w:tcPr>
          <w:p w14:paraId="099267F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焙炒咖啡</w:t>
            </w:r>
          </w:p>
        </w:tc>
        <w:tc>
          <w:tcPr>
            <w:tcW w:w="1557" w:type="pct"/>
            <w:noWrap w:val="0"/>
            <w:vAlign w:val="center"/>
          </w:tcPr>
          <w:p w14:paraId="62E5584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赭曲霉毒素A</w:t>
            </w:r>
          </w:p>
        </w:tc>
        <w:tc>
          <w:tcPr>
            <w:tcW w:w="1438" w:type="pct"/>
            <w:noWrap w:val="0"/>
            <w:vAlign w:val="center"/>
          </w:tcPr>
          <w:p w14:paraId="50FFC32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咖啡因、铅（以Pb计）</w:t>
            </w:r>
          </w:p>
        </w:tc>
      </w:tr>
      <w:tr w14:paraId="4DE80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2BA94B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DCF17E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7DC981D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可可制品</w:t>
            </w:r>
          </w:p>
        </w:tc>
        <w:tc>
          <w:tcPr>
            <w:tcW w:w="455" w:type="pct"/>
            <w:noWrap w:val="0"/>
            <w:vAlign w:val="center"/>
          </w:tcPr>
          <w:p w14:paraId="07C9AEE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可可制品</w:t>
            </w:r>
          </w:p>
        </w:tc>
        <w:tc>
          <w:tcPr>
            <w:tcW w:w="461" w:type="pct"/>
            <w:noWrap w:val="0"/>
            <w:vAlign w:val="center"/>
          </w:tcPr>
          <w:p w14:paraId="7AE49F1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可可制品</w:t>
            </w:r>
          </w:p>
        </w:tc>
        <w:tc>
          <w:tcPr>
            <w:tcW w:w="1557" w:type="pct"/>
            <w:noWrap w:val="0"/>
            <w:vAlign w:val="center"/>
          </w:tcPr>
          <w:p w14:paraId="50EAF98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沙门氏菌</w:t>
            </w:r>
          </w:p>
        </w:tc>
        <w:tc>
          <w:tcPr>
            <w:tcW w:w="1438" w:type="pct"/>
            <w:noWrap w:val="0"/>
            <w:vAlign w:val="center"/>
          </w:tcPr>
          <w:p w14:paraId="362CE83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w:t>
            </w:r>
          </w:p>
        </w:tc>
      </w:tr>
      <w:tr w14:paraId="7AF8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8644AB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408" w:type="pct"/>
            <w:vMerge w:val="restart"/>
            <w:noWrap w:val="0"/>
            <w:vAlign w:val="center"/>
          </w:tcPr>
          <w:p w14:paraId="256953F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423" w:type="pct"/>
            <w:vMerge w:val="restart"/>
            <w:noWrap w:val="0"/>
            <w:vAlign w:val="center"/>
          </w:tcPr>
          <w:p w14:paraId="32DCBB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455" w:type="pct"/>
            <w:vMerge w:val="restart"/>
            <w:noWrap w:val="0"/>
            <w:vAlign w:val="center"/>
          </w:tcPr>
          <w:p w14:paraId="69ED11F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461" w:type="pct"/>
            <w:noWrap w:val="0"/>
            <w:vAlign w:val="center"/>
          </w:tcPr>
          <w:p w14:paraId="27DC168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白砂糖</w:t>
            </w:r>
          </w:p>
        </w:tc>
        <w:tc>
          <w:tcPr>
            <w:tcW w:w="1557" w:type="pct"/>
            <w:noWrap w:val="0"/>
            <w:vAlign w:val="center"/>
          </w:tcPr>
          <w:p w14:paraId="1325ABA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40E46C5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蔗糖分、还原糖分、色值、干燥失重</w:t>
            </w:r>
          </w:p>
        </w:tc>
      </w:tr>
      <w:tr w14:paraId="5445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CA4848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A1F103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82EAC6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D0B6A4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A7367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绵白糖</w:t>
            </w:r>
          </w:p>
        </w:tc>
        <w:tc>
          <w:tcPr>
            <w:tcW w:w="1557" w:type="pct"/>
            <w:noWrap w:val="0"/>
            <w:vAlign w:val="center"/>
          </w:tcPr>
          <w:p w14:paraId="2D620D1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5759803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总糖分、还原糖分、色值、干燥失重</w:t>
            </w:r>
          </w:p>
        </w:tc>
      </w:tr>
      <w:tr w14:paraId="39981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B0D06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F45738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0DB4C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6987CB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C650F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赤砂糖</w:t>
            </w:r>
          </w:p>
        </w:tc>
        <w:tc>
          <w:tcPr>
            <w:tcW w:w="1557" w:type="pct"/>
            <w:noWrap w:val="0"/>
            <w:vAlign w:val="center"/>
          </w:tcPr>
          <w:p w14:paraId="41A463A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2B6401C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总糖分、不溶于水杂质、干燥失重、合成着色剂（柠檬黄、新红、苋菜红、胭脂红、日落黄、诱惑红、酸性红、喹啉黄、赤藓红）</w:t>
            </w:r>
          </w:p>
        </w:tc>
      </w:tr>
      <w:tr w14:paraId="1FA5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A8A97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051F8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736754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E7B1E4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4931CF3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红糖</w:t>
            </w:r>
          </w:p>
        </w:tc>
        <w:tc>
          <w:tcPr>
            <w:tcW w:w="1557" w:type="pct"/>
            <w:noWrap w:val="0"/>
            <w:vAlign w:val="center"/>
          </w:tcPr>
          <w:p w14:paraId="79DE8D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21C0E22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总糖分、不溶于水杂质、干燥失重、合成着色剂（柠檬黄、新红、苋菜红、胭脂红、日落黄、诱惑红、酸性红、喹啉黄、赤藓红）</w:t>
            </w:r>
          </w:p>
        </w:tc>
      </w:tr>
      <w:tr w14:paraId="5D5E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7F946E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21</w:t>
            </w:r>
          </w:p>
        </w:tc>
        <w:tc>
          <w:tcPr>
            <w:tcW w:w="408" w:type="pct"/>
            <w:vMerge w:val="restart"/>
            <w:noWrap w:val="0"/>
            <w:vAlign w:val="center"/>
          </w:tcPr>
          <w:p w14:paraId="2466D84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423" w:type="pct"/>
            <w:vMerge w:val="restart"/>
            <w:noWrap w:val="0"/>
            <w:vAlign w:val="center"/>
          </w:tcPr>
          <w:p w14:paraId="415F6C1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455" w:type="pct"/>
            <w:vMerge w:val="restart"/>
            <w:noWrap w:val="0"/>
            <w:vAlign w:val="center"/>
          </w:tcPr>
          <w:p w14:paraId="2EF5D75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461" w:type="pct"/>
            <w:noWrap w:val="0"/>
            <w:vAlign w:val="center"/>
          </w:tcPr>
          <w:p w14:paraId="6411925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冰糖</w:t>
            </w:r>
          </w:p>
        </w:tc>
        <w:tc>
          <w:tcPr>
            <w:tcW w:w="1557" w:type="pct"/>
            <w:noWrap w:val="0"/>
            <w:vAlign w:val="center"/>
          </w:tcPr>
          <w:p w14:paraId="1ED1091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326F924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蔗糖分、还原糖分、色值、干燥失重、合成着色剂（柠檬黄、新红、苋菜红、胭脂红、日落黄、诱惑红、酸性红、喹啉黄、赤藓红）</w:t>
            </w:r>
          </w:p>
        </w:tc>
      </w:tr>
      <w:tr w14:paraId="2F70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6AD0EB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247D8F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308379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1FCCAD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23D95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冰片糖</w:t>
            </w:r>
          </w:p>
        </w:tc>
        <w:tc>
          <w:tcPr>
            <w:tcW w:w="1557" w:type="pct"/>
            <w:noWrap w:val="0"/>
            <w:vAlign w:val="center"/>
          </w:tcPr>
          <w:p w14:paraId="0CF9398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4DDFCA9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总糖分、还原糖分、干燥失重、合成着色剂（柠檬黄、新红、苋菜红、胭脂红、日落黄、诱惑红、酸性红、喹啉黄、赤藓红）</w:t>
            </w:r>
          </w:p>
        </w:tc>
      </w:tr>
      <w:tr w14:paraId="2CB06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5602BB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97EC4D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E9A99B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37873E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BD9889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方糖</w:t>
            </w:r>
          </w:p>
        </w:tc>
        <w:tc>
          <w:tcPr>
            <w:tcW w:w="1557" w:type="pct"/>
            <w:noWrap w:val="0"/>
            <w:vAlign w:val="center"/>
          </w:tcPr>
          <w:p w14:paraId="0BDD095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005B2AA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蔗糖分、还原糖分、色值、干燥失重</w:t>
            </w:r>
          </w:p>
        </w:tc>
      </w:tr>
      <w:tr w14:paraId="5A01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6D8C37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lang w:val="en-US" w:eastAsia="zh-CN"/>
              </w:rPr>
            </w:pPr>
          </w:p>
        </w:tc>
        <w:tc>
          <w:tcPr>
            <w:tcW w:w="408" w:type="pct"/>
            <w:vMerge w:val="continue"/>
            <w:noWrap w:val="0"/>
            <w:vAlign w:val="center"/>
          </w:tcPr>
          <w:p w14:paraId="7CCBDB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EA0D99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71424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1AF966E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其他糖</w:t>
            </w:r>
          </w:p>
        </w:tc>
        <w:tc>
          <w:tcPr>
            <w:tcW w:w="1557" w:type="pct"/>
            <w:noWrap w:val="0"/>
            <w:vAlign w:val="center"/>
          </w:tcPr>
          <w:p w14:paraId="301A240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二氧化硫残留量、螨</w:t>
            </w:r>
          </w:p>
        </w:tc>
        <w:tc>
          <w:tcPr>
            <w:tcW w:w="1438" w:type="pct"/>
            <w:noWrap w:val="0"/>
            <w:vAlign w:val="center"/>
          </w:tcPr>
          <w:p w14:paraId="6EF5CE6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蔗糖分、总糖分、色值、还原糖分、干燥失重、合成着色剂（柠檬黄、新红、苋菜红、胭脂红、日落黄、诱惑红、酸性红、喹啉黄、赤藓红）、菌落总数、大肠菌群、霉菌、酵母菌</w:t>
            </w:r>
          </w:p>
        </w:tc>
      </w:tr>
      <w:tr w14:paraId="4B01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4595C8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408" w:type="pct"/>
            <w:vMerge w:val="restart"/>
            <w:noWrap w:val="0"/>
            <w:vAlign w:val="center"/>
          </w:tcPr>
          <w:p w14:paraId="681339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水产制品</w:t>
            </w:r>
          </w:p>
        </w:tc>
        <w:tc>
          <w:tcPr>
            <w:tcW w:w="423" w:type="pct"/>
            <w:vMerge w:val="restart"/>
            <w:noWrap w:val="0"/>
            <w:vAlign w:val="center"/>
          </w:tcPr>
          <w:p w14:paraId="65BD812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水产制品</w:t>
            </w:r>
          </w:p>
        </w:tc>
        <w:tc>
          <w:tcPr>
            <w:tcW w:w="455" w:type="pct"/>
            <w:vMerge w:val="restart"/>
            <w:noWrap w:val="0"/>
            <w:vAlign w:val="center"/>
          </w:tcPr>
          <w:p w14:paraId="59EF467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干制水产品</w:t>
            </w:r>
          </w:p>
        </w:tc>
        <w:tc>
          <w:tcPr>
            <w:tcW w:w="461" w:type="pct"/>
            <w:noWrap w:val="0"/>
            <w:vAlign w:val="center"/>
          </w:tcPr>
          <w:p w14:paraId="321E2A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藻类干制品</w:t>
            </w:r>
          </w:p>
        </w:tc>
        <w:tc>
          <w:tcPr>
            <w:tcW w:w="1557" w:type="pct"/>
            <w:noWrap w:val="0"/>
            <w:vAlign w:val="center"/>
          </w:tcPr>
          <w:p w14:paraId="49CB494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27C7CC0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菌落总数、大肠菌群</w:t>
            </w:r>
          </w:p>
        </w:tc>
      </w:tr>
      <w:tr w14:paraId="3410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1B57E3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1A1980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9DA47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E6A2B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00AEC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预制动物性水产干制品</w:t>
            </w:r>
          </w:p>
        </w:tc>
        <w:tc>
          <w:tcPr>
            <w:tcW w:w="1557" w:type="pct"/>
            <w:noWrap w:val="0"/>
            <w:vAlign w:val="center"/>
          </w:tcPr>
          <w:p w14:paraId="7C0359D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5212D9F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过氧化值（以脂肪计）、镉（以Cd计）、合成着色剂（柠檬黄、胭脂红、日落黄）</w:t>
            </w:r>
          </w:p>
        </w:tc>
      </w:tr>
      <w:tr w14:paraId="1475C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6168A9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C22BC6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CCCA9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43238D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盐渍水产品</w:t>
            </w:r>
          </w:p>
        </w:tc>
        <w:tc>
          <w:tcPr>
            <w:tcW w:w="461" w:type="pct"/>
            <w:noWrap w:val="0"/>
            <w:vAlign w:val="center"/>
          </w:tcPr>
          <w:p w14:paraId="07A009A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盐渍鱼</w:t>
            </w:r>
          </w:p>
        </w:tc>
        <w:tc>
          <w:tcPr>
            <w:tcW w:w="1557" w:type="pct"/>
            <w:noWrap w:val="0"/>
            <w:vAlign w:val="center"/>
          </w:tcPr>
          <w:p w14:paraId="776188C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48D27EB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过氧化值（以脂肪计）、组胺、镉（以Cd计）</w:t>
            </w:r>
          </w:p>
        </w:tc>
      </w:tr>
      <w:tr w14:paraId="55CCA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BEBBBA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31B57F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CE253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D8EEE0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4512F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盐渍藻</w:t>
            </w:r>
          </w:p>
        </w:tc>
        <w:tc>
          <w:tcPr>
            <w:tcW w:w="1557" w:type="pct"/>
            <w:noWrap w:val="0"/>
            <w:vAlign w:val="center"/>
          </w:tcPr>
          <w:p w14:paraId="476C9A0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11FDF60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w:t>
            </w:r>
          </w:p>
        </w:tc>
      </w:tr>
      <w:tr w14:paraId="780E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98806A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272FA8A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377E102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continue"/>
            <w:noWrap w:val="0"/>
            <w:vAlign w:val="center"/>
          </w:tcPr>
          <w:p w14:paraId="6D43040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CE029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其他盐渍水产品</w:t>
            </w:r>
          </w:p>
        </w:tc>
        <w:tc>
          <w:tcPr>
            <w:tcW w:w="1557" w:type="pct"/>
            <w:noWrap w:val="0"/>
            <w:vAlign w:val="center"/>
          </w:tcPr>
          <w:p w14:paraId="1D8833D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251037B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1DFFE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888890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9529E2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5392BA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noWrap w:val="0"/>
            <w:vAlign w:val="center"/>
          </w:tcPr>
          <w:p w14:paraId="02377E1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鱼糜制品</w:t>
            </w:r>
          </w:p>
        </w:tc>
        <w:tc>
          <w:tcPr>
            <w:tcW w:w="461" w:type="pct"/>
            <w:noWrap w:val="0"/>
            <w:vAlign w:val="center"/>
          </w:tcPr>
          <w:p w14:paraId="7F8038B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预制鱼糜制品</w:t>
            </w:r>
          </w:p>
        </w:tc>
        <w:tc>
          <w:tcPr>
            <w:tcW w:w="1557" w:type="pct"/>
            <w:noWrap w:val="0"/>
            <w:vAlign w:val="center"/>
          </w:tcPr>
          <w:p w14:paraId="5BAD6AC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794F402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脱氢乙酸及其钠盐（以脱氢乙酸计）、合成着色剂（诱惑红）</w:t>
            </w:r>
          </w:p>
        </w:tc>
      </w:tr>
      <w:tr w14:paraId="0B25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DE5666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16CC5B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53B54C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05ED3BF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熟制动物性水产制品</w:t>
            </w:r>
          </w:p>
        </w:tc>
        <w:tc>
          <w:tcPr>
            <w:tcW w:w="461" w:type="pct"/>
            <w:noWrap w:val="0"/>
            <w:vAlign w:val="center"/>
          </w:tcPr>
          <w:p w14:paraId="6B6DF42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熟制动物性水产制品</w:t>
            </w:r>
          </w:p>
        </w:tc>
        <w:tc>
          <w:tcPr>
            <w:tcW w:w="1557" w:type="pct"/>
            <w:noWrap w:val="0"/>
            <w:vAlign w:val="center"/>
          </w:tcPr>
          <w:p w14:paraId="3764C9C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72627E0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铅（以Pb计）、镉（以Cd计）、甜蜜素（以环己基氨基磺酸计）、脱氢乙酸及其钠盐（以脱氢乙酸计）</w:t>
            </w:r>
          </w:p>
        </w:tc>
      </w:tr>
      <w:tr w14:paraId="1AC6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EB0036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B22DD7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EB000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CCF38B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生食水产品</w:t>
            </w:r>
          </w:p>
        </w:tc>
        <w:tc>
          <w:tcPr>
            <w:tcW w:w="461" w:type="pct"/>
            <w:noWrap w:val="0"/>
            <w:vAlign w:val="center"/>
          </w:tcPr>
          <w:p w14:paraId="5741A4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生食动物性水产品</w:t>
            </w:r>
          </w:p>
        </w:tc>
        <w:tc>
          <w:tcPr>
            <w:tcW w:w="1557" w:type="pct"/>
            <w:noWrap w:val="0"/>
            <w:vAlign w:val="center"/>
          </w:tcPr>
          <w:p w14:paraId="1C7C6D6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59BD9DC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挥发性盐基氮、铝的残留量（以即食海蜇中Al计）、菌落总数、大肠菌群、沙门氏菌、副溶血性弧菌、单核细胞增生李斯特氏菌</w:t>
            </w:r>
          </w:p>
        </w:tc>
      </w:tr>
      <w:tr w14:paraId="7E56F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92E284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505C94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60A7C4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5812874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其他水产制品</w:t>
            </w:r>
          </w:p>
        </w:tc>
        <w:tc>
          <w:tcPr>
            <w:tcW w:w="461" w:type="pct"/>
            <w:noWrap w:val="0"/>
            <w:vAlign w:val="center"/>
          </w:tcPr>
          <w:p w14:paraId="32E793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其他水产制品</w:t>
            </w:r>
          </w:p>
        </w:tc>
        <w:tc>
          <w:tcPr>
            <w:tcW w:w="1557" w:type="pct"/>
            <w:noWrap w:val="0"/>
            <w:vAlign w:val="center"/>
          </w:tcPr>
          <w:p w14:paraId="518E8C6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51698C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铅（以Pb计）、脱氢乙酸及其钠盐（以脱氢乙酸计）、合成着色剂（柠檬黄）、甜蜜素（以环己基氨基磺酸计）、防腐剂混合使用时各自用量占其最大使用量的比例之和、菌落总数</w:t>
            </w:r>
          </w:p>
        </w:tc>
      </w:tr>
      <w:tr w14:paraId="274C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7585CB2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408" w:type="pct"/>
            <w:noWrap w:val="0"/>
            <w:vAlign w:val="center"/>
          </w:tcPr>
          <w:p w14:paraId="05F3928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淀粉及淀粉制品</w:t>
            </w:r>
          </w:p>
        </w:tc>
        <w:tc>
          <w:tcPr>
            <w:tcW w:w="423" w:type="pct"/>
            <w:noWrap w:val="0"/>
            <w:vAlign w:val="center"/>
          </w:tcPr>
          <w:p w14:paraId="52138E6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淀粉及淀粉制品</w:t>
            </w:r>
          </w:p>
        </w:tc>
        <w:tc>
          <w:tcPr>
            <w:tcW w:w="455" w:type="pct"/>
            <w:noWrap w:val="0"/>
            <w:vAlign w:val="center"/>
          </w:tcPr>
          <w:p w14:paraId="2A05CB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w:t>
            </w:r>
          </w:p>
        </w:tc>
        <w:tc>
          <w:tcPr>
            <w:tcW w:w="461" w:type="pct"/>
            <w:noWrap w:val="0"/>
            <w:vAlign w:val="center"/>
          </w:tcPr>
          <w:p w14:paraId="0CB6D2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w:t>
            </w:r>
          </w:p>
        </w:tc>
        <w:tc>
          <w:tcPr>
            <w:tcW w:w="1557" w:type="pct"/>
            <w:noWrap w:val="0"/>
            <w:vAlign w:val="center"/>
          </w:tcPr>
          <w:p w14:paraId="209C3FF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二氧化硫残留量、脱氢乙酸及其钠盐（以脱氢乙酸计）</w:t>
            </w:r>
          </w:p>
        </w:tc>
        <w:tc>
          <w:tcPr>
            <w:tcW w:w="1438" w:type="pct"/>
            <w:noWrap w:val="0"/>
            <w:vAlign w:val="center"/>
          </w:tcPr>
          <w:p w14:paraId="1B504D6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铅（以Pb计）、菌落总数、大肠菌群、霉菌和酵母、葛根素</w:t>
            </w:r>
          </w:p>
        </w:tc>
      </w:tr>
      <w:tr w14:paraId="7E25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63330CA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408" w:type="pct"/>
            <w:vMerge w:val="restart"/>
            <w:noWrap w:val="0"/>
            <w:vAlign w:val="center"/>
          </w:tcPr>
          <w:p w14:paraId="6FE9E1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淀粉及淀粉制品</w:t>
            </w:r>
          </w:p>
        </w:tc>
        <w:tc>
          <w:tcPr>
            <w:tcW w:w="423" w:type="pct"/>
            <w:vMerge w:val="restart"/>
            <w:noWrap w:val="0"/>
            <w:vAlign w:val="center"/>
          </w:tcPr>
          <w:p w14:paraId="484BDB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淀粉及淀粉制品</w:t>
            </w:r>
          </w:p>
        </w:tc>
        <w:tc>
          <w:tcPr>
            <w:tcW w:w="455" w:type="pct"/>
            <w:vMerge w:val="restart"/>
            <w:noWrap w:val="0"/>
            <w:vAlign w:val="center"/>
          </w:tcPr>
          <w:p w14:paraId="337DD8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淀粉制品</w:t>
            </w:r>
          </w:p>
        </w:tc>
        <w:tc>
          <w:tcPr>
            <w:tcW w:w="461" w:type="pct"/>
            <w:noWrap w:val="0"/>
            <w:vAlign w:val="center"/>
          </w:tcPr>
          <w:p w14:paraId="31FB01D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粉丝粉条</w:t>
            </w:r>
          </w:p>
        </w:tc>
        <w:tc>
          <w:tcPr>
            <w:tcW w:w="1557" w:type="pct"/>
            <w:noWrap w:val="0"/>
            <w:vAlign w:val="center"/>
          </w:tcPr>
          <w:p w14:paraId="0BE223D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苯甲酸及其钠盐（以苯甲酸计）、山梨酸及其钾盐（以山梨酸计）、铝的残留量（干样品，以Al计）</w:t>
            </w:r>
          </w:p>
        </w:tc>
        <w:tc>
          <w:tcPr>
            <w:tcW w:w="1438" w:type="pct"/>
            <w:noWrap w:val="0"/>
            <w:vAlign w:val="center"/>
          </w:tcPr>
          <w:p w14:paraId="6655A67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铅（以Pb计）、脱氢乙酸及其钠盐（以脱氢乙酸计）、二氧化硫残留量、合成着色剂（柠檬黄、新红、苋菜红、靛蓝、胭脂红、日落黄、诱惑红、亮蓝、酸性红、喹啉黄、赤藓红）</w:t>
            </w:r>
          </w:p>
        </w:tc>
      </w:tr>
      <w:tr w14:paraId="77718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2DA41E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DE21C8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B2B7D2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22CC65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2B7FC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其他淀粉制品</w:t>
            </w:r>
          </w:p>
        </w:tc>
        <w:tc>
          <w:tcPr>
            <w:tcW w:w="1557" w:type="pct"/>
            <w:noWrap w:val="0"/>
            <w:vAlign w:val="center"/>
          </w:tcPr>
          <w:p w14:paraId="714E176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6D5C26B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的残留量（干样品，以Al计）、二氧化硫残留量、合成着色剂（柠檬黄、新红、苋菜红、靛蓝、胭脂红、日落黄、诱惑红、亮蓝、酸性红、喹啉黄、赤藓红）、相同色泽着色剂混合使用时各自用量占其最大使用量的比例之和</w:t>
            </w:r>
          </w:p>
        </w:tc>
      </w:tr>
      <w:tr w14:paraId="7DB5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FEC8D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DA113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0819E6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noWrap w:val="0"/>
            <w:vAlign w:val="center"/>
          </w:tcPr>
          <w:p w14:paraId="43ECA0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淀粉糖</w:t>
            </w:r>
          </w:p>
        </w:tc>
        <w:tc>
          <w:tcPr>
            <w:tcW w:w="461" w:type="pct"/>
            <w:noWrap w:val="0"/>
            <w:vAlign w:val="center"/>
          </w:tcPr>
          <w:p w14:paraId="058BD18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淀粉糖</w:t>
            </w:r>
          </w:p>
        </w:tc>
        <w:tc>
          <w:tcPr>
            <w:tcW w:w="1557" w:type="pct"/>
            <w:noWrap w:val="0"/>
            <w:vAlign w:val="center"/>
          </w:tcPr>
          <w:p w14:paraId="54C0149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铅（以Pb计）、总砷（以As计）</w:t>
            </w:r>
          </w:p>
        </w:tc>
        <w:tc>
          <w:tcPr>
            <w:tcW w:w="1438" w:type="pct"/>
            <w:noWrap w:val="0"/>
            <w:vAlign w:val="center"/>
          </w:tcPr>
          <w:p w14:paraId="00D2570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葡萄糖含量（以干基计，质量分数）、IMO含量（占干物质，质量分数）、IG</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+P+IG</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含量（占干物质，质量分数）、果糖（占干基比）、果糖+葡萄糖（占干基比）、5-羟甲基糠醛（以吸光度计）、果糖+葡萄糖含量（以干物质计）、果糖含量（以干物质计）、麦芽糖含量（以干物质计，质量分数）、干物质（固形物）、硫酸灰分</w:t>
            </w:r>
          </w:p>
        </w:tc>
      </w:tr>
      <w:tr w14:paraId="788C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360973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w:t>
            </w:r>
          </w:p>
        </w:tc>
        <w:tc>
          <w:tcPr>
            <w:tcW w:w="408" w:type="pct"/>
            <w:vMerge w:val="restart"/>
            <w:noWrap w:val="0"/>
            <w:vAlign w:val="center"/>
          </w:tcPr>
          <w:p w14:paraId="5B716B9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糕点</w:t>
            </w:r>
          </w:p>
        </w:tc>
        <w:tc>
          <w:tcPr>
            <w:tcW w:w="423" w:type="pct"/>
            <w:vMerge w:val="restart"/>
            <w:noWrap w:val="0"/>
            <w:vAlign w:val="center"/>
          </w:tcPr>
          <w:p w14:paraId="44762A0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糕点</w:t>
            </w:r>
          </w:p>
        </w:tc>
        <w:tc>
          <w:tcPr>
            <w:tcW w:w="455" w:type="pct"/>
            <w:noWrap w:val="0"/>
            <w:vAlign w:val="center"/>
          </w:tcPr>
          <w:p w14:paraId="49C35D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面包</w:t>
            </w:r>
          </w:p>
        </w:tc>
        <w:tc>
          <w:tcPr>
            <w:tcW w:w="461" w:type="pct"/>
            <w:noWrap w:val="0"/>
            <w:vAlign w:val="center"/>
          </w:tcPr>
          <w:p w14:paraId="24460EB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面包</w:t>
            </w:r>
          </w:p>
        </w:tc>
        <w:tc>
          <w:tcPr>
            <w:tcW w:w="1557" w:type="pct"/>
            <w:noWrap w:val="0"/>
            <w:vAlign w:val="center"/>
          </w:tcPr>
          <w:p w14:paraId="3444BA5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酸价（以脂肪计）（KOH）、过氧化值（以脂肪计）、丙酸及其钠盐、钙盐（以丙酸计）、脱氢乙酸及其钠盐（以脱氢乙酸计）、菌落总数、大肠菌群</w:t>
            </w:r>
          </w:p>
        </w:tc>
        <w:tc>
          <w:tcPr>
            <w:tcW w:w="1438" w:type="pct"/>
            <w:noWrap w:val="0"/>
            <w:vAlign w:val="center"/>
          </w:tcPr>
          <w:p w14:paraId="40D6B5B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苯甲酸及其钠盐（以苯甲酸计）、山梨酸及其钾盐（以山梨酸计）、糖精钠（以糖精计）、甜蜜素（以环己基氨基磺酸计）、安赛蜜、铝的残留量（干样品，以Al计）、三氯蔗糖、合成着色剂（柠檬黄、日落黄、胭脂红、苋菜红、亮蓝、诱惑红）、防腐剂混合使用时各自用量占其最大使用量的比例之和、金黄色葡萄球菌、沙门氏菌、霉菌</w:t>
            </w:r>
          </w:p>
        </w:tc>
      </w:tr>
      <w:tr w14:paraId="2BE99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B91A86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24F9C0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16325B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noWrap w:val="0"/>
            <w:vAlign w:val="center"/>
          </w:tcPr>
          <w:p w14:paraId="24B4C61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月饼</w:t>
            </w:r>
          </w:p>
        </w:tc>
        <w:tc>
          <w:tcPr>
            <w:tcW w:w="461" w:type="pct"/>
            <w:noWrap w:val="0"/>
            <w:vAlign w:val="center"/>
          </w:tcPr>
          <w:p w14:paraId="1325CA9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月饼</w:t>
            </w:r>
          </w:p>
        </w:tc>
        <w:tc>
          <w:tcPr>
            <w:tcW w:w="1557" w:type="pct"/>
            <w:noWrap w:val="0"/>
            <w:vAlign w:val="center"/>
          </w:tcPr>
          <w:p w14:paraId="622B50A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酸价（以脂肪计）（KOH）、过氧化值（以脂肪计）、丙酸及其钠盐、钙盐（以丙酸计）、脱氢乙酸及其钠盐（以脱氢乙酸计）、菌落总数、大肠菌群</w:t>
            </w:r>
          </w:p>
        </w:tc>
        <w:tc>
          <w:tcPr>
            <w:tcW w:w="1438" w:type="pct"/>
            <w:noWrap w:val="0"/>
            <w:vAlign w:val="center"/>
          </w:tcPr>
          <w:p w14:paraId="2C92C6C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苯甲酸及其钠盐（以苯甲酸计）、山梨酸及其钾盐（以山梨酸计）、铝的残留量（干样品，以Al计）、纳他霉素、合成着色剂（柠檬黄、日落黄、胭脂红、苋菜红、亮蓝、赤藓红、诱惑红）、防腐剂混合使用时各自用量占其最大使用量的比例之和、金黄色葡萄球菌、沙门氏菌、霉菌</w:t>
            </w:r>
          </w:p>
        </w:tc>
      </w:tr>
      <w:tr w14:paraId="47ECD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93D726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BFEC8F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EB0A0F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2C2D3C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粽子</w:t>
            </w:r>
          </w:p>
        </w:tc>
        <w:tc>
          <w:tcPr>
            <w:tcW w:w="461" w:type="pct"/>
            <w:noWrap w:val="0"/>
            <w:vAlign w:val="center"/>
          </w:tcPr>
          <w:p w14:paraId="4D62D1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粽子</w:t>
            </w:r>
          </w:p>
        </w:tc>
        <w:tc>
          <w:tcPr>
            <w:tcW w:w="1557" w:type="pct"/>
            <w:noWrap w:val="0"/>
            <w:vAlign w:val="center"/>
          </w:tcPr>
          <w:p w14:paraId="2550DE0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过氧化值（以脂肪计）、山梨酸及其钾盐（以山梨酸计）、脱氢乙酸及其钠盐（以脱氢乙酸计）、菌落总数、大肠菌群</w:t>
            </w:r>
          </w:p>
        </w:tc>
        <w:tc>
          <w:tcPr>
            <w:tcW w:w="1438" w:type="pct"/>
            <w:noWrap w:val="0"/>
            <w:vAlign w:val="center"/>
          </w:tcPr>
          <w:p w14:paraId="59235DA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甜蜜素（以环己基氨基磺酸计）、糖精钠（以糖精计）、安赛蜜、金黄色葡萄球菌、沙门氏菌、霉菌、商业无菌</w:t>
            </w:r>
          </w:p>
        </w:tc>
      </w:tr>
      <w:tr w14:paraId="6550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5E03F3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408" w:type="pct"/>
            <w:noWrap w:val="0"/>
            <w:vAlign w:val="center"/>
          </w:tcPr>
          <w:p w14:paraId="77411A0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糕点</w:t>
            </w:r>
          </w:p>
        </w:tc>
        <w:tc>
          <w:tcPr>
            <w:tcW w:w="423" w:type="pct"/>
            <w:noWrap w:val="0"/>
            <w:vAlign w:val="center"/>
          </w:tcPr>
          <w:p w14:paraId="309C85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糕点</w:t>
            </w:r>
          </w:p>
        </w:tc>
        <w:tc>
          <w:tcPr>
            <w:tcW w:w="455" w:type="pct"/>
            <w:noWrap w:val="0"/>
            <w:vAlign w:val="center"/>
          </w:tcPr>
          <w:p w14:paraId="4EC0B7E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糕点</w:t>
            </w:r>
          </w:p>
        </w:tc>
        <w:tc>
          <w:tcPr>
            <w:tcW w:w="461" w:type="pct"/>
            <w:noWrap w:val="0"/>
            <w:vAlign w:val="center"/>
          </w:tcPr>
          <w:p w14:paraId="0001DA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糕点</w:t>
            </w:r>
          </w:p>
        </w:tc>
        <w:tc>
          <w:tcPr>
            <w:tcW w:w="1557" w:type="pct"/>
            <w:noWrap w:val="0"/>
            <w:vAlign w:val="center"/>
          </w:tcPr>
          <w:p w14:paraId="7097EF4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苯甲酸及其钠盐（以苯甲酸计）、山梨酸及其钾盐（以山梨酸计）、丙酸及其钠盐、钙盐（以丙酸计）、脱氢乙酸及其钠盐（以脱氢乙酸计）、菌落总数、大肠菌群</w:t>
            </w:r>
          </w:p>
        </w:tc>
        <w:tc>
          <w:tcPr>
            <w:tcW w:w="1438" w:type="pct"/>
            <w:noWrap w:val="0"/>
            <w:vAlign w:val="center"/>
          </w:tcPr>
          <w:p w14:paraId="7D2D49F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糖精钠（以糖精计）、甜蜜素（以环己基氨基磺酸计）、安赛蜜、铝的残留量（干样品，以Al计）、纳他霉素、三氯蔗糖、丙二醇、合成着色剂（柠檬黄、日落黄、胭脂红、苋菜红、亮蓝、赤藓红、诱惑红）、防腐剂混合使用时各自用量占其最大使用量的比例之和、金黄色葡萄球菌、沙门氏菌、霉菌</w:t>
            </w:r>
          </w:p>
        </w:tc>
      </w:tr>
      <w:tr w14:paraId="448C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2CAB3D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408" w:type="pct"/>
            <w:vMerge w:val="restart"/>
            <w:noWrap w:val="0"/>
            <w:vAlign w:val="center"/>
          </w:tcPr>
          <w:p w14:paraId="346C1AA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豆制品</w:t>
            </w:r>
          </w:p>
        </w:tc>
        <w:tc>
          <w:tcPr>
            <w:tcW w:w="423" w:type="pct"/>
            <w:vMerge w:val="restart"/>
            <w:noWrap w:val="0"/>
            <w:vAlign w:val="center"/>
          </w:tcPr>
          <w:p w14:paraId="286DE5D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豆制品</w:t>
            </w:r>
          </w:p>
        </w:tc>
        <w:tc>
          <w:tcPr>
            <w:tcW w:w="455" w:type="pct"/>
            <w:noWrap w:val="0"/>
            <w:vAlign w:val="center"/>
          </w:tcPr>
          <w:p w14:paraId="6F0BF8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发酵性豆制品</w:t>
            </w:r>
          </w:p>
        </w:tc>
        <w:tc>
          <w:tcPr>
            <w:tcW w:w="461" w:type="pct"/>
            <w:noWrap w:val="0"/>
            <w:vAlign w:val="center"/>
          </w:tcPr>
          <w:p w14:paraId="3DCA31B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腐乳、豆豉、纳豆等</w:t>
            </w:r>
          </w:p>
        </w:tc>
        <w:tc>
          <w:tcPr>
            <w:tcW w:w="1557" w:type="pct"/>
            <w:noWrap w:val="0"/>
            <w:vAlign w:val="center"/>
          </w:tcPr>
          <w:p w14:paraId="7B45F3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5791CBA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、糖精钠（以糖精计）、甜蜜素（以环己基氨基磺酸计）、铝的残留量（干样品，以Al计）、大肠菌群</w:t>
            </w:r>
          </w:p>
        </w:tc>
      </w:tr>
      <w:tr w14:paraId="0E03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A254FE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256AE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E2150B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71B9FA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非发酵性豆制品</w:t>
            </w:r>
          </w:p>
        </w:tc>
        <w:tc>
          <w:tcPr>
            <w:tcW w:w="461" w:type="pct"/>
            <w:noWrap w:val="0"/>
            <w:vAlign w:val="center"/>
          </w:tcPr>
          <w:p w14:paraId="75B10A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腐竹、油皮及其再制品</w:t>
            </w:r>
          </w:p>
        </w:tc>
        <w:tc>
          <w:tcPr>
            <w:tcW w:w="1557" w:type="pct"/>
            <w:noWrap w:val="0"/>
            <w:vAlign w:val="center"/>
          </w:tcPr>
          <w:p w14:paraId="59546EC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62BCA61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蛋白质、铅（以Pb计）、碱性嫩黄、脱氢乙酸及其钠盐（以脱氢乙酸计）、二氧化硫残留量、铝的残留量（干样品，以Al计）、合成着色剂（柠檬黄、日落黄）</w:t>
            </w:r>
          </w:p>
        </w:tc>
      </w:tr>
      <w:tr w14:paraId="56DBC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7A47D1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D3E5A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97DEF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F86902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206171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豆干、豆腐、豆皮等</w:t>
            </w:r>
          </w:p>
        </w:tc>
        <w:tc>
          <w:tcPr>
            <w:tcW w:w="1557" w:type="pct"/>
            <w:noWrap w:val="0"/>
            <w:vAlign w:val="center"/>
          </w:tcPr>
          <w:p w14:paraId="014F54C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68333A1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丙酸及其钠盐、钙盐（以丙酸计）、防腐剂混合使用时各自用量占其最大使用量的比例之和、糖精钠（以糖精计）、三氯蔗糖、甜蜜素（以环己基氨基磺酸计）、铝的残留量（干样品，以Al计）、合成着色剂（柠檬黄、日落黄）、大肠菌群、金黄色葡萄球菌</w:t>
            </w:r>
          </w:p>
        </w:tc>
      </w:tr>
      <w:tr w14:paraId="13B3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7A827A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7F83D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2003AA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5348684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其他豆制品</w:t>
            </w:r>
          </w:p>
        </w:tc>
        <w:tc>
          <w:tcPr>
            <w:tcW w:w="461" w:type="pct"/>
            <w:noWrap w:val="0"/>
            <w:vAlign w:val="center"/>
          </w:tcPr>
          <w:p w14:paraId="454368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大豆蛋白类制品等</w:t>
            </w:r>
          </w:p>
        </w:tc>
        <w:tc>
          <w:tcPr>
            <w:tcW w:w="1557" w:type="pct"/>
            <w:noWrap w:val="0"/>
            <w:vAlign w:val="center"/>
          </w:tcPr>
          <w:p w14:paraId="6E90A89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c>
          <w:tcPr>
            <w:tcW w:w="1438" w:type="pct"/>
            <w:noWrap w:val="0"/>
            <w:vAlign w:val="center"/>
          </w:tcPr>
          <w:p w14:paraId="7B5F59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铅（以Pb计）、糖精钠（以糖精计）、三氯蔗糖、铝的残留量（干样品，以Al计）、大肠菌群</w:t>
            </w:r>
          </w:p>
        </w:tc>
      </w:tr>
      <w:tr w14:paraId="2F72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4203FD6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408" w:type="pct"/>
            <w:vMerge w:val="restart"/>
            <w:noWrap w:val="0"/>
            <w:vAlign w:val="center"/>
          </w:tcPr>
          <w:p w14:paraId="6CB880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蜂产品</w:t>
            </w:r>
          </w:p>
        </w:tc>
        <w:tc>
          <w:tcPr>
            <w:tcW w:w="423" w:type="pct"/>
            <w:vMerge w:val="restart"/>
            <w:noWrap w:val="0"/>
            <w:vAlign w:val="center"/>
          </w:tcPr>
          <w:p w14:paraId="6295AE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蜂产品</w:t>
            </w:r>
          </w:p>
        </w:tc>
        <w:tc>
          <w:tcPr>
            <w:tcW w:w="455" w:type="pct"/>
            <w:noWrap w:val="0"/>
            <w:vAlign w:val="center"/>
          </w:tcPr>
          <w:p w14:paraId="5D7246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蜂蜜</w:t>
            </w:r>
          </w:p>
        </w:tc>
        <w:tc>
          <w:tcPr>
            <w:tcW w:w="461" w:type="pct"/>
            <w:noWrap w:val="0"/>
            <w:vAlign w:val="center"/>
          </w:tcPr>
          <w:p w14:paraId="6AD5817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蜂蜜</w:t>
            </w:r>
          </w:p>
        </w:tc>
        <w:tc>
          <w:tcPr>
            <w:tcW w:w="1557" w:type="pct"/>
            <w:noWrap w:val="0"/>
            <w:vAlign w:val="center"/>
          </w:tcPr>
          <w:p w14:paraId="07DDC17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果糖和葡萄糖、蔗糖、山梨酸及其钾盐（以山梨酸计）、嗜渗酵母计数</w:t>
            </w:r>
          </w:p>
        </w:tc>
        <w:tc>
          <w:tcPr>
            <w:tcW w:w="1438" w:type="pct"/>
            <w:noWrap w:val="0"/>
            <w:vAlign w:val="center"/>
          </w:tcPr>
          <w:p w14:paraId="7692409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铅（以Pb计）、氯霉素、呋喃西林代谢物、呋喃唑酮代谢物、甲硝唑、双甲脒、诺氟沙星、氧氟沙星、菌落总数、霉菌计数</w:t>
            </w:r>
          </w:p>
        </w:tc>
      </w:tr>
      <w:tr w14:paraId="2F365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FA2011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52ED75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17B93D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4DDC883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蜂王浆（含蜂王浆冻干品）</w:t>
            </w:r>
          </w:p>
        </w:tc>
        <w:tc>
          <w:tcPr>
            <w:tcW w:w="461" w:type="pct"/>
            <w:noWrap w:val="0"/>
            <w:vAlign w:val="center"/>
          </w:tcPr>
          <w:p w14:paraId="6AE381A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蜂王浆（含蜂王浆冻干品）</w:t>
            </w:r>
          </w:p>
        </w:tc>
        <w:tc>
          <w:tcPr>
            <w:tcW w:w="1557" w:type="pct"/>
            <w:noWrap w:val="0"/>
            <w:vAlign w:val="center"/>
          </w:tcPr>
          <w:p w14:paraId="262E4F8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10-羟基-2-癸烯酸</w:t>
            </w:r>
          </w:p>
        </w:tc>
        <w:tc>
          <w:tcPr>
            <w:tcW w:w="1438" w:type="pct"/>
            <w:noWrap w:val="0"/>
            <w:vAlign w:val="center"/>
          </w:tcPr>
          <w:p w14:paraId="5753E57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酸度、蛋白质、呋喃西林代谢物</w:t>
            </w:r>
          </w:p>
        </w:tc>
      </w:tr>
      <w:tr w14:paraId="0440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0D0A14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BD1F1A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DAB2A7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228581F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蜂花粉</w:t>
            </w:r>
          </w:p>
        </w:tc>
        <w:tc>
          <w:tcPr>
            <w:tcW w:w="461" w:type="pct"/>
            <w:noWrap w:val="0"/>
            <w:vAlign w:val="center"/>
          </w:tcPr>
          <w:p w14:paraId="6198F28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蜂花粉</w:t>
            </w:r>
          </w:p>
        </w:tc>
        <w:tc>
          <w:tcPr>
            <w:tcW w:w="1557" w:type="pct"/>
            <w:noWrap w:val="0"/>
            <w:vAlign w:val="center"/>
          </w:tcPr>
          <w:p w14:paraId="1C557EA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铅（以Pb计）</w:t>
            </w:r>
          </w:p>
        </w:tc>
        <w:tc>
          <w:tcPr>
            <w:tcW w:w="1438" w:type="pct"/>
            <w:noWrap w:val="0"/>
            <w:vAlign w:val="center"/>
          </w:tcPr>
          <w:p w14:paraId="28765C1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菌落总数、大肠菌群、霉菌</w:t>
            </w:r>
          </w:p>
        </w:tc>
      </w:tr>
      <w:tr w14:paraId="372F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0A553B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538A29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0C2812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noWrap w:val="0"/>
            <w:vAlign w:val="center"/>
          </w:tcPr>
          <w:p w14:paraId="5F18CBA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蜂产品制品</w:t>
            </w:r>
          </w:p>
        </w:tc>
        <w:tc>
          <w:tcPr>
            <w:tcW w:w="461" w:type="pct"/>
            <w:noWrap w:val="0"/>
            <w:vAlign w:val="center"/>
          </w:tcPr>
          <w:p w14:paraId="32B934E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蜂产品制品</w:t>
            </w:r>
          </w:p>
        </w:tc>
        <w:tc>
          <w:tcPr>
            <w:tcW w:w="1557" w:type="pct"/>
            <w:noWrap w:val="0"/>
            <w:vAlign w:val="center"/>
          </w:tcPr>
          <w:p w14:paraId="75792FB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山梨酸及其钾盐（以山梨酸计）</w:t>
            </w:r>
          </w:p>
        </w:tc>
        <w:tc>
          <w:tcPr>
            <w:tcW w:w="1438" w:type="pct"/>
            <w:noWrap w:val="0"/>
            <w:vAlign w:val="center"/>
          </w:tcPr>
          <w:p w14:paraId="4435F35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合成着色剂（柠檬黄、日落黄）、菌落总数</w:t>
            </w:r>
          </w:p>
        </w:tc>
      </w:tr>
      <w:tr w14:paraId="1C79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175C63C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408" w:type="pct"/>
            <w:noWrap w:val="0"/>
            <w:vAlign w:val="center"/>
          </w:tcPr>
          <w:p w14:paraId="5168187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保健食品</w:t>
            </w:r>
          </w:p>
        </w:tc>
        <w:tc>
          <w:tcPr>
            <w:tcW w:w="423" w:type="pct"/>
            <w:noWrap w:val="0"/>
            <w:vAlign w:val="center"/>
          </w:tcPr>
          <w:p w14:paraId="3E486C3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保健食品</w:t>
            </w:r>
          </w:p>
        </w:tc>
        <w:tc>
          <w:tcPr>
            <w:tcW w:w="455" w:type="pct"/>
            <w:noWrap w:val="0"/>
            <w:vAlign w:val="center"/>
          </w:tcPr>
          <w:p w14:paraId="302F9D8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保健食品</w:t>
            </w:r>
          </w:p>
        </w:tc>
        <w:tc>
          <w:tcPr>
            <w:tcW w:w="461" w:type="pct"/>
            <w:noWrap w:val="0"/>
            <w:vAlign w:val="center"/>
          </w:tcPr>
          <w:p w14:paraId="0C5E39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保健食品</w:t>
            </w:r>
          </w:p>
        </w:tc>
        <w:tc>
          <w:tcPr>
            <w:tcW w:w="1557" w:type="pct"/>
            <w:noWrap w:val="0"/>
            <w:vAlign w:val="center"/>
          </w:tcPr>
          <w:p w14:paraId="6A7ED68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铅（Pb）、总砷（As）、总汞（Hg）、菌落总数、大肠菌群、霉菌和酵母、金黄色葡萄球菌、沙门氏菌</w:t>
            </w:r>
          </w:p>
        </w:tc>
        <w:tc>
          <w:tcPr>
            <w:tcW w:w="1438" w:type="pct"/>
            <w:noWrap w:val="0"/>
            <w:vAlign w:val="center"/>
          </w:tcPr>
          <w:p w14:paraId="661B53D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氨基酸、10-羟基-2-癸烯酸、蛋白质、二十二碳六烯酸、二十碳五烯酸、泛酸、钙、还原糖、肌醇、赖氨酸、绿原酸、铁、维生素A、维生素B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12</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6</w:t>
            </w:r>
            <w:r>
              <w:rPr>
                <w:rFonts w:hint="eastAsia" w:ascii="宋体" w:hAnsi="宋体" w:eastAsia="宋体" w:cs="宋体"/>
                <w:i w:val="0"/>
                <w:iCs w:val="0"/>
                <w:color w:val="000000"/>
                <w:kern w:val="0"/>
                <w:sz w:val="21"/>
                <w:szCs w:val="21"/>
                <w:u w:val="none"/>
                <w:lang w:val="en-US" w:eastAsia="zh-CN" w:bidi="ar"/>
              </w:rPr>
              <w:t>、维生素C、维生素D、维生素D</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维生素E、硒、锌、烟酰胺、叶酸、免疫球蛋白IgG、总黄酮、总皂苷、总蒽醌、吡啶甲酸铬、芦荟苷、总三萜、嗜酸乳杆菌、双歧杆菌、水分、可溶性固形物、酸价、过氧化值、崩解时限、灰分、硬胶囊壳中的铬</w:t>
            </w:r>
          </w:p>
        </w:tc>
      </w:tr>
      <w:tr w14:paraId="2CAC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063A136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408" w:type="pct"/>
            <w:vMerge w:val="restart"/>
            <w:noWrap w:val="0"/>
            <w:vAlign w:val="center"/>
          </w:tcPr>
          <w:p w14:paraId="26B7750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特殊膳食食品</w:t>
            </w:r>
          </w:p>
        </w:tc>
        <w:tc>
          <w:tcPr>
            <w:tcW w:w="423" w:type="pct"/>
            <w:vMerge w:val="restart"/>
            <w:noWrap w:val="0"/>
            <w:vAlign w:val="center"/>
          </w:tcPr>
          <w:p w14:paraId="15AFE84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婴幼儿辅助食品</w:t>
            </w:r>
          </w:p>
        </w:tc>
        <w:tc>
          <w:tcPr>
            <w:tcW w:w="455" w:type="pct"/>
            <w:noWrap w:val="0"/>
            <w:vAlign w:val="center"/>
          </w:tcPr>
          <w:p w14:paraId="441CB7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婴幼儿谷类辅助食品</w:t>
            </w:r>
          </w:p>
        </w:tc>
        <w:tc>
          <w:tcPr>
            <w:tcW w:w="461" w:type="pct"/>
            <w:noWrap w:val="0"/>
            <w:vAlign w:val="center"/>
          </w:tcPr>
          <w:p w14:paraId="5C5609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婴幼儿谷物辅助食品、婴幼儿高蛋白谷物辅助食品、婴幼儿生制类谷物辅助食品、婴幼儿饼干或其他婴幼儿谷物辅助食品</w:t>
            </w:r>
          </w:p>
        </w:tc>
        <w:tc>
          <w:tcPr>
            <w:tcW w:w="1557" w:type="pct"/>
            <w:noWrap w:val="0"/>
            <w:vAlign w:val="center"/>
          </w:tcPr>
          <w:p w14:paraId="0D8BA5D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040D9C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能量、蛋白质、脂肪、亚油酸、月桂酸占总脂肪的比值、肉豆蔻酸占总脂肪的比值、维生素A、维生素D、维生素B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、钙、铁、锌、钠、维生素E、维生素B</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6</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12</w:t>
            </w:r>
            <w:r>
              <w:rPr>
                <w:rFonts w:hint="eastAsia" w:ascii="宋体" w:hAnsi="宋体" w:eastAsia="宋体" w:cs="宋体"/>
                <w:i w:val="0"/>
                <w:iCs w:val="0"/>
                <w:color w:val="000000"/>
                <w:kern w:val="0"/>
                <w:sz w:val="21"/>
                <w:szCs w:val="21"/>
                <w:u w:val="none"/>
                <w:lang w:val="en-US" w:eastAsia="zh-CN" w:bidi="ar"/>
              </w:rPr>
              <w:t>、烟酸、叶酸、泛酸、维生素C、生物素、磷、碘、钾、水分、不溶性膳食纤维、脲酶活性定性测定、铅（以Pb计）、无机砷（以As计）、锡（以Sn计）、镉（以Cd计）、黄曲霉毒素B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、硝酸盐（以NaNO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计）、菌落总数、大肠菌群、沙门氏菌、二十二碳六烯酸、花生四烯酸、金黄色葡萄球菌</w:t>
            </w:r>
          </w:p>
        </w:tc>
      </w:tr>
      <w:tr w14:paraId="048B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8E119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56969A9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3494DE0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001A83E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婴幼儿罐装辅助食品</w:t>
            </w:r>
          </w:p>
        </w:tc>
        <w:tc>
          <w:tcPr>
            <w:tcW w:w="461" w:type="pct"/>
            <w:noWrap w:val="0"/>
            <w:vAlign w:val="center"/>
          </w:tcPr>
          <w:p w14:paraId="34763E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泥（糊）状罐装食品、颗粒状罐装食品、汁类罐装食品</w:t>
            </w:r>
          </w:p>
        </w:tc>
        <w:tc>
          <w:tcPr>
            <w:tcW w:w="1557" w:type="pct"/>
            <w:noWrap w:val="0"/>
            <w:vAlign w:val="center"/>
          </w:tcPr>
          <w:p w14:paraId="21E9DCE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F1D42D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蛋白质、脂肪、总钠、铅（以Pb计）、无机砷（以As计）、总汞（以Hg计）、锡（以Sn计）、硝酸盐（以NaNO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计）、商业无菌、霉菌</w:t>
            </w:r>
          </w:p>
        </w:tc>
      </w:tr>
      <w:tr w14:paraId="4B5ED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1D01B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2A209F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40AA7AC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营养补充品</w:t>
            </w:r>
          </w:p>
        </w:tc>
        <w:tc>
          <w:tcPr>
            <w:tcW w:w="455" w:type="pct"/>
            <w:noWrap w:val="0"/>
            <w:vAlign w:val="center"/>
          </w:tcPr>
          <w:p w14:paraId="6939DE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营养补充品</w:t>
            </w:r>
          </w:p>
        </w:tc>
        <w:tc>
          <w:tcPr>
            <w:tcW w:w="461" w:type="pct"/>
            <w:noWrap w:val="0"/>
            <w:vAlign w:val="center"/>
          </w:tcPr>
          <w:p w14:paraId="50CD023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辅食营养素补充食品、辅食营养素补充片、辅食营养素撒剂</w:t>
            </w:r>
          </w:p>
        </w:tc>
        <w:tc>
          <w:tcPr>
            <w:tcW w:w="1557" w:type="pct"/>
            <w:noWrap w:val="0"/>
            <w:vAlign w:val="center"/>
          </w:tcPr>
          <w:p w14:paraId="3D91262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7402682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蛋白质、钙、铁、锌、维生素A、维生素D、维生素B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、维生素K</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、烟酸（烟酰胺）、维生素B</w:t>
            </w:r>
            <w:r>
              <w:rPr>
                <w:rFonts w:hint="eastAsia" w:ascii="宋体" w:hAnsi="宋体" w:eastAsia="宋体" w:cs="宋体"/>
                <w:i w:val="0"/>
                <w:iCs w:val="0"/>
                <w:color w:val="000000"/>
                <w:kern w:val="0"/>
                <w:sz w:val="21"/>
                <w:szCs w:val="21"/>
                <w:u w:val="none"/>
                <w:vertAlign w:val="subscript"/>
                <w:lang w:val="en-US" w:eastAsia="zh-CN" w:bidi="ar"/>
              </w:rPr>
              <w:t>6</w:t>
            </w:r>
            <w:r>
              <w:rPr>
                <w:rFonts w:hint="eastAsia" w:ascii="宋体" w:hAnsi="宋体" w:eastAsia="宋体" w:cs="宋体"/>
                <w:i w:val="0"/>
                <w:iCs w:val="0"/>
                <w:color w:val="000000"/>
                <w:kern w:val="0"/>
                <w:sz w:val="21"/>
                <w:szCs w:val="21"/>
                <w:u w:val="none"/>
                <w:lang w:val="en-US" w:eastAsia="zh-CN" w:bidi="ar"/>
              </w:rPr>
              <w:t>、叶酸、维生素B</w:t>
            </w:r>
            <w:r>
              <w:rPr>
                <w:rFonts w:hint="eastAsia" w:ascii="宋体" w:hAnsi="宋体" w:eastAsia="宋体" w:cs="宋体"/>
                <w:i w:val="0"/>
                <w:iCs w:val="0"/>
                <w:color w:val="000000"/>
                <w:kern w:val="0"/>
                <w:sz w:val="21"/>
                <w:szCs w:val="21"/>
                <w:u w:val="none"/>
                <w:vertAlign w:val="subscript"/>
                <w:lang w:val="en-US" w:eastAsia="zh-CN" w:bidi="ar"/>
              </w:rPr>
              <w:t>12</w:t>
            </w:r>
            <w:r>
              <w:rPr>
                <w:rFonts w:hint="eastAsia" w:ascii="宋体" w:hAnsi="宋体" w:eastAsia="宋体" w:cs="宋体"/>
                <w:i w:val="0"/>
                <w:iCs w:val="0"/>
                <w:color w:val="000000"/>
                <w:kern w:val="0"/>
                <w:sz w:val="21"/>
                <w:szCs w:val="21"/>
                <w:u w:val="none"/>
                <w:lang w:val="en-US" w:eastAsia="zh-CN" w:bidi="ar"/>
              </w:rPr>
              <w:t>、泛酸、胆碱、生物素、维生素C、二十二碳六烯酸、脲酶活性定性、铅（以Pb计）、总砷（以As计）、黄曲霉毒素M</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、硝酸盐（以NaNO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计）、菌落总数、大肠菌群、沙门氏菌、金黄色葡萄球菌</w:t>
            </w:r>
          </w:p>
        </w:tc>
      </w:tr>
      <w:tr w14:paraId="49E7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6DF608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408" w:type="pct"/>
            <w:vMerge w:val="restart"/>
            <w:noWrap w:val="0"/>
            <w:vAlign w:val="center"/>
          </w:tcPr>
          <w:p w14:paraId="276828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特殊膳食食品</w:t>
            </w:r>
          </w:p>
        </w:tc>
        <w:tc>
          <w:tcPr>
            <w:tcW w:w="423" w:type="pct"/>
            <w:vMerge w:val="restart"/>
            <w:noWrap w:val="0"/>
            <w:vAlign w:val="center"/>
          </w:tcPr>
          <w:p w14:paraId="484C805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营养补充品</w:t>
            </w:r>
          </w:p>
        </w:tc>
        <w:tc>
          <w:tcPr>
            <w:tcW w:w="455" w:type="pct"/>
            <w:vMerge w:val="restart"/>
            <w:noWrap w:val="0"/>
            <w:vAlign w:val="center"/>
          </w:tcPr>
          <w:p w14:paraId="0B1A7F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营养补充品</w:t>
            </w:r>
          </w:p>
        </w:tc>
        <w:tc>
          <w:tcPr>
            <w:tcW w:w="461" w:type="pct"/>
            <w:noWrap w:val="0"/>
            <w:vAlign w:val="center"/>
          </w:tcPr>
          <w:p w14:paraId="480BB38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孕妇及乳母营养补充食品</w:t>
            </w:r>
          </w:p>
        </w:tc>
        <w:tc>
          <w:tcPr>
            <w:tcW w:w="1557" w:type="pct"/>
            <w:noWrap w:val="0"/>
            <w:vAlign w:val="center"/>
          </w:tcPr>
          <w:p w14:paraId="6AEE670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4E0EFE9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铁、维生素A、维生素D、叶酸、维生素B</w:t>
            </w:r>
            <w:r>
              <w:rPr>
                <w:rFonts w:hint="eastAsia" w:ascii="宋体" w:hAnsi="宋体" w:eastAsia="宋体" w:cs="宋体"/>
                <w:i w:val="0"/>
                <w:iCs w:val="0"/>
                <w:color w:val="000000"/>
                <w:kern w:val="0"/>
                <w:sz w:val="21"/>
                <w:szCs w:val="21"/>
                <w:u w:val="none"/>
                <w:vertAlign w:val="subscript"/>
                <w:lang w:val="en-US" w:eastAsia="zh-CN" w:bidi="ar"/>
              </w:rPr>
              <w:t>12</w:t>
            </w:r>
            <w:r>
              <w:rPr>
                <w:rFonts w:hint="eastAsia" w:ascii="宋体" w:hAnsi="宋体" w:eastAsia="宋体" w:cs="宋体"/>
                <w:i w:val="0"/>
                <w:iCs w:val="0"/>
                <w:color w:val="000000"/>
                <w:kern w:val="0"/>
                <w:sz w:val="21"/>
                <w:szCs w:val="21"/>
                <w:u w:val="none"/>
                <w:lang w:val="en-US" w:eastAsia="zh-CN" w:bidi="ar"/>
              </w:rPr>
              <w:t>、钙、镁、锌、硒、维生素E、维生素K、维生素B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6</w:t>
            </w:r>
            <w:r>
              <w:rPr>
                <w:rFonts w:hint="eastAsia" w:ascii="宋体" w:hAnsi="宋体" w:eastAsia="宋体" w:cs="宋体"/>
                <w:i w:val="0"/>
                <w:iCs w:val="0"/>
                <w:color w:val="000000"/>
                <w:kern w:val="0"/>
                <w:sz w:val="21"/>
                <w:szCs w:val="21"/>
                <w:u w:val="none"/>
                <w:lang w:val="en-US" w:eastAsia="zh-CN" w:bidi="ar"/>
              </w:rPr>
              <w:t>、烟酸（烟酰胺）、泛酸、胆碱、生物素、维生素C、二十二碳六烯酸、脲酶活性定性、铅（以Pb计）、总砷（以As计）、硝酸盐（以NaNO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计）、黄曲霉毒素M</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、大肠菌群、沙门氏菌、金黄色葡萄球菌</w:t>
            </w:r>
          </w:p>
        </w:tc>
      </w:tr>
      <w:tr w14:paraId="093D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AD91C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74A70C1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77B4FA5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continue"/>
            <w:noWrap w:val="0"/>
            <w:vAlign w:val="center"/>
          </w:tcPr>
          <w:p w14:paraId="603877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61" w:type="pct"/>
            <w:noWrap w:val="0"/>
            <w:vAlign w:val="center"/>
          </w:tcPr>
          <w:p w14:paraId="36C6A9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运动营养</w:t>
            </w:r>
          </w:p>
          <w:p w14:paraId="6FE1767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w:t>
            </w:r>
          </w:p>
        </w:tc>
        <w:tc>
          <w:tcPr>
            <w:tcW w:w="1557" w:type="pct"/>
            <w:noWrap w:val="0"/>
            <w:vAlign w:val="center"/>
          </w:tcPr>
          <w:p w14:paraId="746DAD5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553CEA6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咖啡因、肌酸、肽类、维生素A、维生素D、维生素E、维生素B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6</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12</w:t>
            </w:r>
            <w:r>
              <w:rPr>
                <w:rFonts w:hint="eastAsia" w:ascii="宋体" w:hAnsi="宋体" w:eastAsia="宋体" w:cs="宋体"/>
                <w:i w:val="0"/>
                <w:iCs w:val="0"/>
                <w:color w:val="000000"/>
                <w:kern w:val="0"/>
                <w:sz w:val="21"/>
                <w:szCs w:val="21"/>
                <w:u w:val="none"/>
                <w:lang w:val="en-US" w:eastAsia="zh-CN" w:bidi="ar"/>
              </w:rPr>
              <w:t>、维生素C、叶酸、烟酸、生物素、泛酸、钙、钠、钾、镁、铁、锌、硒、铜、碘、锰、磷、钼、铬、左旋肉碱、牛磺酸、铅（以Pb计）、总砷（以As计）、黄曲霉毒素M</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、沙门氏菌、金黄色葡萄球菌</w:t>
            </w:r>
          </w:p>
        </w:tc>
      </w:tr>
      <w:tr w14:paraId="2701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348B181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408" w:type="pct"/>
            <w:vMerge w:val="restart"/>
            <w:noWrap w:val="0"/>
            <w:vAlign w:val="center"/>
          </w:tcPr>
          <w:p w14:paraId="62C2DDA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特殊医学用途配方食品</w:t>
            </w:r>
          </w:p>
        </w:tc>
        <w:tc>
          <w:tcPr>
            <w:tcW w:w="423" w:type="pct"/>
            <w:vMerge w:val="restart"/>
            <w:noWrap w:val="0"/>
            <w:vAlign w:val="center"/>
          </w:tcPr>
          <w:p w14:paraId="359D43A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特殊医学用途配方食品</w:t>
            </w:r>
          </w:p>
        </w:tc>
        <w:tc>
          <w:tcPr>
            <w:tcW w:w="455" w:type="pct"/>
            <w:vMerge w:val="restart"/>
            <w:noWrap w:val="0"/>
            <w:vAlign w:val="center"/>
          </w:tcPr>
          <w:p w14:paraId="570160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特殊医学用途配方食品</w:t>
            </w:r>
          </w:p>
        </w:tc>
        <w:tc>
          <w:tcPr>
            <w:tcW w:w="461" w:type="pct"/>
            <w:noWrap w:val="0"/>
            <w:vAlign w:val="center"/>
          </w:tcPr>
          <w:p w14:paraId="5A6A96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全营养配方食品</w:t>
            </w:r>
          </w:p>
        </w:tc>
        <w:tc>
          <w:tcPr>
            <w:tcW w:w="1557" w:type="pct"/>
            <w:noWrap w:val="0"/>
            <w:vAlign w:val="center"/>
          </w:tcPr>
          <w:p w14:paraId="4339D7B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2F9BB7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蛋白质、亚油酸供能比、α-亚麻酸供能比、维生素A、维生素D、维生素E、维生素K</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6</w:t>
            </w:r>
            <w:r>
              <w:rPr>
                <w:rFonts w:hint="eastAsia" w:ascii="宋体" w:hAnsi="宋体" w:eastAsia="宋体" w:cs="宋体"/>
                <w:i w:val="0"/>
                <w:iCs w:val="0"/>
                <w:color w:val="000000"/>
                <w:kern w:val="0"/>
                <w:sz w:val="21"/>
                <w:szCs w:val="21"/>
                <w:u w:val="none"/>
                <w:lang w:val="en-US" w:eastAsia="zh-CN" w:bidi="ar"/>
              </w:rPr>
              <w:t>、维生素B</w:t>
            </w:r>
            <w:r>
              <w:rPr>
                <w:rFonts w:hint="eastAsia" w:ascii="宋体" w:hAnsi="宋体" w:eastAsia="宋体" w:cs="宋体"/>
                <w:i w:val="0"/>
                <w:iCs w:val="0"/>
                <w:color w:val="000000"/>
                <w:kern w:val="0"/>
                <w:sz w:val="21"/>
                <w:szCs w:val="21"/>
                <w:u w:val="none"/>
                <w:vertAlign w:val="subscript"/>
                <w:lang w:val="en-US" w:eastAsia="zh-CN" w:bidi="ar"/>
              </w:rPr>
              <w:t>12</w:t>
            </w:r>
            <w:r>
              <w:rPr>
                <w:rFonts w:hint="eastAsia" w:ascii="宋体" w:hAnsi="宋体" w:eastAsia="宋体" w:cs="宋体"/>
                <w:i w:val="0"/>
                <w:iCs w:val="0"/>
                <w:color w:val="000000"/>
                <w:kern w:val="0"/>
                <w:sz w:val="21"/>
                <w:szCs w:val="21"/>
                <w:u w:val="none"/>
                <w:lang w:val="en-US" w:eastAsia="zh-CN" w:bidi="ar"/>
              </w:rPr>
              <w:t>、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、硝酸盐（以NaNO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计）、三聚氰胺、菌落总数、大肠菌群、沙门氏菌、金黄色葡萄球菌、商业无菌</w:t>
            </w:r>
          </w:p>
        </w:tc>
      </w:tr>
      <w:tr w14:paraId="7E32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C35B57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08B20B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235D0B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6301B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02B507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非全营养配方食品</w:t>
            </w:r>
          </w:p>
        </w:tc>
        <w:tc>
          <w:tcPr>
            <w:tcW w:w="1557" w:type="pct"/>
            <w:noWrap w:val="0"/>
            <w:vAlign w:val="center"/>
          </w:tcPr>
          <w:p w14:paraId="1E5F65C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87BD1F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铅（以Pb计）、锡（</w:t>
            </w:r>
            <w:r>
              <w:rPr>
                <w:rFonts w:hint="eastAsia" w:ascii="宋体" w:hAnsi="宋体" w:eastAsia="宋体" w:cs="宋体"/>
                <w:i w:val="0"/>
                <w:iCs w:val="0"/>
                <w:color w:val="000000"/>
                <w:kern w:val="0"/>
                <w:sz w:val="21"/>
                <w:szCs w:val="21"/>
                <w:highlight w:val="none"/>
                <w:u w:val="none"/>
                <w:lang w:val="en-US" w:eastAsia="zh-CN" w:bidi="ar"/>
              </w:rPr>
              <w:t>以Sn计）、黄曲霉毒素M</w:t>
            </w:r>
            <w:r>
              <w:rPr>
                <w:rFonts w:hint="eastAsia" w:ascii="宋体" w:hAnsi="宋体" w:eastAsia="宋体" w:cs="宋体"/>
                <w:i w:val="0"/>
                <w:iCs w:val="0"/>
                <w:color w:val="000000"/>
                <w:kern w:val="0"/>
                <w:sz w:val="21"/>
                <w:szCs w:val="21"/>
                <w:highlight w:val="none"/>
                <w:u w:val="none"/>
                <w:vertAlign w:val="subscript"/>
                <w:lang w:val="en-US" w:eastAsia="zh-CN" w:bidi="ar"/>
              </w:rPr>
              <w:t>1</w:t>
            </w:r>
            <w:r>
              <w:rPr>
                <w:rFonts w:hint="eastAsia" w:ascii="宋体" w:hAnsi="宋体" w:eastAsia="宋体" w:cs="宋体"/>
                <w:i w:val="0"/>
                <w:iCs w:val="0"/>
                <w:color w:val="000000"/>
                <w:kern w:val="0"/>
                <w:sz w:val="21"/>
                <w:szCs w:val="21"/>
                <w:highlight w:val="none"/>
                <w:u w:val="none"/>
                <w:lang w:val="en-US" w:eastAsia="zh-CN" w:bidi="ar"/>
              </w:rPr>
              <w:t>、黄曲</w:t>
            </w:r>
            <w:r>
              <w:rPr>
                <w:rFonts w:hint="eastAsia" w:ascii="宋体" w:hAnsi="宋体" w:eastAsia="宋体" w:cs="宋体"/>
                <w:i w:val="0"/>
                <w:iCs w:val="0"/>
                <w:color w:val="000000"/>
                <w:kern w:val="0"/>
                <w:sz w:val="21"/>
                <w:szCs w:val="21"/>
                <w:u w:val="none"/>
                <w:lang w:val="en-US" w:eastAsia="zh-CN" w:bidi="ar"/>
              </w:rPr>
              <w:t>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、硝酸盐（以NaNO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计）、三聚氰胺、菌落总数、大肠菌群、沙门氏菌、金黄色葡萄球菌、商业无菌、企业标准/注册的产品技术要求中规定的质量指标</w:t>
            </w:r>
          </w:p>
        </w:tc>
      </w:tr>
      <w:tr w14:paraId="3678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54B6EE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2FE6D3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A1472A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D5480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275578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特定全营养配方食品</w:t>
            </w:r>
          </w:p>
        </w:tc>
        <w:tc>
          <w:tcPr>
            <w:tcW w:w="1557" w:type="pct"/>
            <w:noWrap w:val="0"/>
            <w:vAlign w:val="center"/>
          </w:tcPr>
          <w:p w14:paraId="348BD67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1113C0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铅（以Pb计）、锡（以Sn计）、黄曲霉毒素M</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、硝酸盐（以NaNO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计）、亚硝酸盐（以NaNO</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计）、三聚氰胺、菌落总数、大肠菌群、沙门氏菌、金黄色葡萄球菌、商业无菌、企业标准/注册的产品技术要求中规定的质量指标</w:t>
            </w:r>
          </w:p>
        </w:tc>
      </w:tr>
      <w:tr w14:paraId="792B8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7F47829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30</w:t>
            </w:r>
          </w:p>
        </w:tc>
        <w:tc>
          <w:tcPr>
            <w:tcW w:w="408" w:type="pct"/>
            <w:vMerge w:val="restart"/>
            <w:noWrap w:val="0"/>
            <w:vAlign w:val="center"/>
          </w:tcPr>
          <w:p w14:paraId="125A8E2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餐饮食品</w:t>
            </w:r>
          </w:p>
        </w:tc>
        <w:tc>
          <w:tcPr>
            <w:tcW w:w="423" w:type="pct"/>
            <w:vMerge w:val="restart"/>
            <w:noWrap w:val="0"/>
            <w:vAlign w:val="center"/>
          </w:tcPr>
          <w:p w14:paraId="3BFF99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米面及其制品</w:t>
            </w:r>
          </w:p>
          <w:p w14:paraId="14011BB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55" w:type="pct"/>
            <w:vMerge w:val="restart"/>
            <w:noWrap w:val="0"/>
            <w:vAlign w:val="center"/>
          </w:tcPr>
          <w:p w14:paraId="238D20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小麦粉制品（自制）</w:t>
            </w:r>
          </w:p>
        </w:tc>
        <w:tc>
          <w:tcPr>
            <w:tcW w:w="461" w:type="pct"/>
            <w:noWrap w:val="0"/>
            <w:vAlign w:val="center"/>
          </w:tcPr>
          <w:p w14:paraId="12F3923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馒头花卷（自制）</w:t>
            </w:r>
          </w:p>
        </w:tc>
        <w:tc>
          <w:tcPr>
            <w:tcW w:w="1557" w:type="pct"/>
            <w:noWrap w:val="0"/>
            <w:vAlign w:val="center"/>
          </w:tcPr>
          <w:p w14:paraId="1A8035E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5E72D76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糖精钠（以糖精计）、脱氢乙酸及其钠盐（以脱氢乙酸计）、甜蜜素（以环己基氨基磺酸计）</w:t>
            </w:r>
          </w:p>
        </w:tc>
      </w:tr>
      <w:tr w14:paraId="2401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49B46B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3A250F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62DF87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4D620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6E2ED7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包子（自制）</w:t>
            </w:r>
          </w:p>
        </w:tc>
        <w:tc>
          <w:tcPr>
            <w:tcW w:w="1557" w:type="pct"/>
            <w:noWrap w:val="0"/>
            <w:vAlign w:val="center"/>
          </w:tcPr>
          <w:p w14:paraId="36A4579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w:t>
            </w:r>
          </w:p>
        </w:tc>
        <w:tc>
          <w:tcPr>
            <w:tcW w:w="1438" w:type="pct"/>
            <w:noWrap w:val="0"/>
            <w:vAlign w:val="center"/>
          </w:tcPr>
          <w:p w14:paraId="60B79D2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糖精钠（以糖精计）、脱氢乙酸及其钠盐（以脱氢乙酸计）、甜蜜素（以环己基氨基磺酸计）</w:t>
            </w:r>
          </w:p>
        </w:tc>
      </w:tr>
      <w:tr w14:paraId="4736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C96BD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1EEC3CE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54D1F5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continue"/>
            <w:noWrap w:val="0"/>
            <w:vAlign w:val="center"/>
          </w:tcPr>
          <w:p w14:paraId="4E24CE2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61" w:type="pct"/>
            <w:noWrap w:val="0"/>
            <w:vAlign w:val="center"/>
          </w:tcPr>
          <w:p w14:paraId="06065E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油饼油条</w:t>
            </w:r>
          </w:p>
          <w:p w14:paraId="63EF86C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1557" w:type="pct"/>
            <w:noWrap w:val="0"/>
            <w:vAlign w:val="center"/>
          </w:tcPr>
          <w:p w14:paraId="200C096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铝的残留量（干样品，以Al计）</w:t>
            </w:r>
          </w:p>
        </w:tc>
        <w:tc>
          <w:tcPr>
            <w:tcW w:w="1438" w:type="pct"/>
            <w:noWrap w:val="0"/>
            <w:vAlign w:val="center"/>
          </w:tcPr>
          <w:p w14:paraId="65F059E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7FD6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E1C712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9C9D67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3239E5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65CE29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CC26BA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凉皮（自制）</w:t>
            </w:r>
          </w:p>
        </w:tc>
        <w:tc>
          <w:tcPr>
            <w:tcW w:w="1557" w:type="pct"/>
            <w:noWrap w:val="0"/>
            <w:vAlign w:val="center"/>
          </w:tcPr>
          <w:p w14:paraId="02F5B52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脱氢乙酸及其钠盐（以脱氢乙酸计）</w:t>
            </w:r>
          </w:p>
        </w:tc>
        <w:tc>
          <w:tcPr>
            <w:tcW w:w="1438" w:type="pct"/>
            <w:noWrap w:val="0"/>
            <w:vAlign w:val="center"/>
          </w:tcPr>
          <w:p w14:paraId="6A6BE18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0A90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CAA93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166F39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1587A7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5AF029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D3F4D9E">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kern w:val="0"/>
                <w:sz w:val="21"/>
                <w:szCs w:val="21"/>
                <w:lang w:bidi="ar"/>
              </w:rPr>
              <w:t>其他生制面制品</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自制</w:t>
            </w:r>
            <w:r>
              <w:rPr>
                <w:rFonts w:hint="eastAsia" w:ascii="宋体" w:hAnsi="宋体" w:eastAsia="宋体" w:cs="宋体"/>
                <w:kern w:val="0"/>
                <w:sz w:val="21"/>
                <w:szCs w:val="21"/>
                <w:lang w:eastAsia="zh-CN" w:bidi="ar"/>
              </w:rPr>
              <w:t>）</w:t>
            </w:r>
          </w:p>
        </w:tc>
        <w:tc>
          <w:tcPr>
            <w:tcW w:w="1557" w:type="pct"/>
            <w:noWrap w:val="0"/>
            <w:vAlign w:val="center"/>
          </w:tcPr>
          <w:p w14:paraId="1AA86A17">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bCs/>
                <w:kern w:val="0"/>
                <w:sz w:val="21"/>
                <w:szCs w:val="21"/>
                <w:lang w:bidi="ar"/>
              </w:rPr>
            </w:pPr>
            <w:r>
              <w:rPr>
                <w:rFonts w:hint="eastAsia" w:ascii="宋体" w:hAnsi="宋体" w:eastAsia="宋体" w:cs="宋体"/>
                <w:bCs/>
                <w:kern w:val="0"/>
                <w:sz w:val="21"/>
                <w:szCs w:val="21"/>
                <w:lang w:bidi="ar"/>
              </w:rPr>
              <w:t>苯甲酸及其钠盐（以苯甲酸计）、山梨酸及其钾盐（以山梨酸计）</w:t>
            </w:r>
          </w:p>
        </w:tc>
        <w:tc>
          <w:tcPr>
            <w:tcW w:w="1438" w:type="pct"/>
            <w:noWrap w:val="0"/>
            <w:vAlign w:val="center"/>
          </w:tcPr>
          <w:p w14:paraId="50459E9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Cs/>
                <w:kern w:val="0"/>
                <w:sz w:val="21"/>
                <w:szCs w:val="21"/>
                <w:lang w:bidi="ar"/>
              </w:rPr>
              <w:t>脱氢乙酸及其钠盐（以脱氢乙酸计）、二氧化硫残留量</w:t>
            </w:r>
          </w:p>
        </w:tc>
      </w:tr>
      <w:tr w14:paraId="08A8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15C947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08" w:type="pct"/>
            <w:vMerge w:val="restart"/>
            <w:noWrap w:val="0"/>
            <w:vAlign w:val="center"/>
          </w:tcPr>
          <w:p w14:paraId="1D8FA7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餐饮食品</w:t>
            </w:r>
          </w:p>
        </w:tc>
        <w:tc>
          <w:tcPr>
            <w:tcW w:w="423" w:type="pct"/>
            <w:noWrap w:val="0"/>
            <w:vAlign w:val="center"/>
          </w:tcPr>
          <w:p w14:paraId="2364C2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米面及其制品</w:t>
            </w:r>
          </w:p>
          <w:p w14:paraId="74E38A9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55" w:type="pct"/>
            <w:noWrap w:val="0"/>
            <w:vAlign w:val="center"/>
          </w:tcPr>
          <w:p w14:paraId="6DBBD1BC">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大米制品</w:t>
            </w:r>
          </w:p>
          <w:p w14:paraId="6D9D4337">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自制</w:t>
            </w:r>
            <w:r>
              <w:rPr>
                <w:rFonts w:hint="eastAsia" w:ascii="宋体" w:hAnsi="宋体" w:eastAsia="宋体" w:cs="宋体"/>
                <w:kern w:val="0"/>
                <w:sz w:val="21"/>
                <w:szCs w:val="21"/>
                <w:lang w:eastAsia="zh-CN" w:bidi="ar"/>
              </w:rPr>
              <w:t>）</w:t>
            </w:r>
          </w:p>
        </w:tc>
        <w:tc>
          <w:tcPr>
            <w:tcW w:w="461" w:type="pct"/>
            <w:noWrap w:val="0"/>
            <w:vAlign w:val="center"/>
          </w:tcPr>
          <w:p w14:paraId="2114B62F">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其他米类制品</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自制</w:t>
            </w:r>
            <w:r>
              <w:rPr>
                <w:rFonts w:hint="eastAsia" w:ascii="宋体" w:hAnsi="宋体" w:eastAsia="宋体" w:cs="宋体"/>
                <w:kern w:val="0"/>
                <w:sz w:val="21"/>
                <w:szCs w:val="21"/>
                <w:lang w:eastAsia="zh-CN" w:bidi="ar"/>
              </w:rPr>
              <w:t>）</w:t>
            </w:r>
          </w:p>
        </w:tc>
        <w:tc>
          <w:tcPr>
            <w:tcW w:w="1557" w:type="pct"/>
            <w:noWrap w:val="0"/>
            <w:vAlign w:val="center"/>
          </w:tcPr>
          <w:p w14:paraId="5066EF0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bCs/>
                <w:kern w:val="0"/>
                <w:sz w:val="21"/>
                <w:szCs w:val="21"/>
                <w:lang w:bidi="ar"/>
              </w:rPr>
            </w:pPr>
            <w:r>
              <w:rPr>
                <w:rFonts w:hint="eastAsia" w:ascii="宋体" w:hAnsi="宋体" w:eastAsia="宋体" w:cs="宋体"/>
                <w:bCs/>
                <w:kern w:val="0"/>
                <w:sz w:val="21"/>
                <w:szCs w:val="21"/>
                <w:lang w:bidi="ar"/>
              </w:rPr>
              <w:t>苯甲酸及其钠盐（以苯甲酸计）、山梨酸及其钾盐（以山梨酸计）</w:t>
            </w:r>
          </w:p>
        </w:tc>
        <w:tc>
          <w:tcPr>
            <w:tcW w:w="1438" w:type="pct"/>
            <w:noWrap w:val="0"/>
            <w:vAlign w:val="center"/>
          </w:tcPr>
          <w:p w14:paraId="042A5655">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bCs/>
                <w:kern w:val="0"/>
                <w:sz w:val="21"/>
                <w:szCs w:val="21"/>
                <w:lang w:bidi="ar"/>
              </w:rPr>
            </w:pPr>
            <w:r>
              <w:rPr>
                <w:rFonts w:hint="eastAsia" w:ascii="宋体" w:hAnsi="宋体" w:eastAsia="宋体" w:cs="宋体"/>
                <w:bCs/>
                <w:kern w:val="0"/>
                <w:sz w:val="21"/>
                <w:szCs w:val="21"/>
                <w:lang w:bidi="ar"/>
              </w:rPr>
              <w:t>脱氢乙酸及其钠盐（以脱氢乙酸计）</w:t>
            </w:r>
          </w:p>
        </w:tc>
      </w:tr>
      <w:tr w14:paraId="2E205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05BE5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62572C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710BCD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肉制品</w:t>
            </w:r>
          </w:p>
          <w:p w14:paraId="55679AE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55" w:type="pct"/>
            <w:vMerge w:val="restart"/>
            <w:noWrap w:val="0"/>
            <w:vAlign w:val="center"/>
          </w:tcPr>
          <w:p w14:paraId="0A3D6DE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熟肉制品（自制）</w:t>
            </w:r>
          </w:p>
        </w:tc>
        <w:tc>
          <w:tcPr>
            <w:tcW w:w="461" w:type="pct"/>
            <w:noWrap w:val="0"/>
            <w:vAlign w:val="center"/>
          </w:tcPr>
          <w:p w14:paraId="0AB5E0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肉冻皮冻（自制）</w:t>
            </w:r>
          </w:p>
        </w:tc>
        <w:tc>
          <w:tcPr>
            <w:tcW w:w="1557" w:type="pct"/>
            <w:noWrap w:val="0"/>
            <w:vAlign w:val="center"/>
          </w:tcPr>
          <w:p w14:paraId="4D25B7B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铬（以Cr计）</w:t>
            </w:r>
          </w:p>
        </w:tc>
        <w:tc>
          <w:tcPr>
            <w:tcW w:w="1438" w:type="pct"/>
            <w:noWrap w:val="0"/>
            <w:vAlign w:val="center"/>
          </w:tcPr>
          <w:p w14:paraId="241ED47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32E7A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4CA428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A19BA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36267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97C614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F331F6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熏烧烤肉类（自制）</w:t>
            </w:r>
          </w:p>
        </w:tc>
        <w:tc>
          <w:tcPr>
            <w:tcW w:w="1557" w:type="pct"/>
            <w:noWrap w:val="0"/>
            <w:vAlign w:val="center"/>
          </w:tcPr>
          <w:p w14:paraId="498C82E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N-二甲基亚硝胺、苯并[α]芘</w:t>
            </w:r>
          </w:p>
        </w:tc>
        <w:tc>
          <w:tcPr>
            <w:tcW w:w="1438" w:type="pct"/>
            <w:noWrap w:val="0"/>
            <w:vAlign w:val="center"/>
          </w:tcPr>
          <w:p w14:paraId="0C099B1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w:t>
            </w:r>
          </w:p>
        </w:tc>
      </w:tr>
      <w:tr w14:paraId="3C789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45A075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5038C2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35EA093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调味料</w:t>
            </w:r>
          </w:p>
          <w:p w14:paraId="58C897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55" w:type="pct"/>
            <w:noWrap w:val="0"/>
            <w:vAlign w:val="center"/>
          </w:tcPr>
          <w:p w14:paraId="3FF310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调味料</w:t>
            </w:r>
          </w:p>
          <w:p w14:paraId="744741A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61" w:type="pct"/>
            <w:noWrap w:val="0"/>
            <w:vAlign w:val="center"/>
          </w:tcPr>
          <w:p w14:paraId="274BA6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火锅麻辣烫底料（自制）</w:t>
            </w:r>
          </w:p>
        </w:tc>
        <w:tc>
          <w:tcPr>
            <w:tcW w:w="1557" w:type="pct"/>
            <w:noWrap w:val="0"/>
            <w:vAlign w:val="center"/>
          </w:tcPr>
          <w:p w14:paraId="0F1F77A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罂粟碱、吗啡、可待因、那可丁</w:t>
            </w:r>
          </w:p>
        </w:tc>
        <w:tc>
          <w:tcPr>
            <w:tcW w:w="1438" w:type="pct"/>
            <w:noWrap w:val="0"/>
            <w:vAlign w:val="center"/>
          </w:tcPr>
          <w:p w14:paraId="69BE448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4BC25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9F78F7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2DAFA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noWrap w:val="0"/>
            <w:vAlign w:val="center"/>
          </w:tcPr>
          <w:p w14:paraId="4F6F690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水产制品（自制）</w:t>
            </w:r>
          </w:p>
        </w:tc>
        <w:tc>
          <w:tcPr>
            <w:tcW w:w="455" w:type="pct"/>
            <w:noWrap w:val="0"/>
            <w:vAlign w:val="center"/>
          </w:tcPr>
          <w:p w14:paraId="503E75B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预制水产制品</w:t>
            </w:r>
          </w:p>
          <w:p w14:paraId="3EFFDBB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61" w:type="pct"/>
            <w:noWrap w:val="0"/>
            <w:vAlign w:val="center"/>
          </w:tcPr>
          <w:p w14:paraId="41BFCA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生食动物性水产品</w:t>
            </w:r>
          </w:p>
          <w:p w14:paraId="567C5D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1557" w:type="pct"/>
            <w:noWrap w:val="0"/>
            <w:vAlign w:val="center"/>
          </w:tcPr>
          <w:p w14:paraId="7D6EAA6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铝的残留量（以即食海蜇中Al计）</w:t>
            </w:r>
          </w:p>
        </w:tc>
        <w:tc>
          <w:tcPr>
            <w:tcW w:w="1438" w:type="pct"/>
            <w:noWrap w:val="0"/>
            <w:vAlign w:val="center"/>
          </w:tcPr>
          <w:p w14:paraId="3CA4261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70DC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59A9FE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768CF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2970D2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坚果及籽类食品</w:t>
            </w:r>
          </w:p>
          <w:p w14:paraId="79FC63F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55" w:type="pct"/>
            <w:noWrap w:val="0"/>
            <w:vAlign w:val="center"/>
          </w:tcPr>
          <w:p w14:paraId="33921CF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坚果及籽类食品</w:t>
            </w:r>
          </w:p>
          <w:p w14:paraId="4DFA768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61" w:type="pct"/>
            <w:noWrap w:val="0"/>
            <w:vAlign w:val="center"/>
          </w:tcPr>
          <w:p w14:paraId="33B8AAB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花生制品（自制）</w:t>
            </w:r>
          </w:p>
        </w:tc>
        <w:tc>
          <w:tcPr>
            <w:tcW w:w="1557" w:type="pct"/>
            <w:noWrap w:val="0"/>
            <w:vAlign w:val="center"/>
          </w:tcPr>
          <w:p w14:paraId="665F997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p>
        </w:tc>
        <w:tc>
          <w:tcPr>
            <w:tcW w:w="1438" w:type="pct"/>
            <w:noWrap w:val="0"/>
            <w:vAlign w:val="center"/>
          </w:tcPr>
          <w:p w14:paraId="2F1E63D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苯甲酸及其钠盐（以苯甲酸计）、山梨酸及其钾盐（以山梨酸计）、脱氢乙酸及其钠盐（以脱氢乙酸计）</w:t>
            </w:r>
          </w:p>
        </w:tc>
      </w:tr>
      <w:tr w14:paraId="11406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38C2E2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0740AE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617D404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餐饮具</w:t>
            </w:r>
          </w:p>
        </w:tc>
        <w:tc>
          <w:tcPr>
            <w:tcW w:w="455" w:type="pct"/>
            <w:vMerge w:val="restart"/>
            <w:noWrap w:val="0"/>
            <w:vAlign w:val="center"/>
          </w:tcPr>
          <w:p w14:paraId="650ED8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复用餐饮具</w:t>
            </w:r>
          </w:p>
        </w:tc>
        <w:tc>
          <w:tcPr>
            <w:tcW w:w="461" w:type="pct"/>
            <w:noWrap w:val="0"/>
            <w:vAlign w:val="center"/>
          </w:tcPr>
          <w:p w14:paraId="2C89F8C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复用餐饮具（餐馆自行消毒）</w:t>
            </w:r>
          </w:p>
        </w:tc>
        <w:tc>
          <w:tcPr>
            <w:tcW w:w="1557" w:type="pct"/>
            <w:noWrap w:val="0"/>
            <w:vAlign w:val="center"/>
          </w:tcPr>
          <w:p w14:paraId="572F3C4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大肠菌群</w:t>
            </w:r>
          </w:p>
        </w:tc>
        <w:tc>
          <w:tcPr>
            <w:tcW w:w="1438" w:type="pct"/>
            <w:noWrap w:val="0"/>
            <w:vAlign w:val="center"/>
          </w:tcPr>
          <w:p w14:paraId="7238094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阴离子合成洗涤剂（以十二烷基苯磺酸钠计）</w:t>
            </w:r>
          </w:p>
        </w:tc>
      </w:tr>
      <w:tr w14:paraId="7435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8F408E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030B9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D98CD5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1525F1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EB4800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复用餐饮具（集中清洗消毒服务单位消毒）</w:t>
            </w:r>
          </w:p>
        </w:tc>
        <w:tc>
          <w:tcPr>
            <w:tcW w:w="1557" w:type="pct"/>
            <w:noWrap w:val="0"/>
            <w:vAlign w:val="center"/>
          </w:tcPr>
          <w:p w14:paraId="44A2043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大肠菌群</w:t>
            </w:r>
          </w:p>
        </w:tc>
        <w:tc>
          <w:tcPr>
            <w:tcW w:w="1438" w:type="pct"/>
            <w:noWrap w:val="0"/>
            <w:vAlign w:val="center"/>
          </w:tcPr>
          <w:p w14:paraId="5DC9F33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阴离子合成洗涤剂（以十二烷基苯磺酸钠计）</w:t>
            </w:r>
          </w:p>
        </w:tc>
      </w:tr>
      <w:tr w14:paraId="090E6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EA7CC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5B343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restart"/>
            <w:noWrap w:val="0"/>
            <w:vAlign w:val="center"/>
          </w:tcPr>
          <w:p w14:paraId="649F461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焙烤食品（自制）</w:t>
            </w:r>
          </w:p>
        </w:tc>
        <w:tc>
          <w:tcPr>
            <w:tcW w:w="455" w:type="pct"/>
            <w:vMerge w:val="restart"/>
            <w:noWrap w:val="0"/>
            <w:vAlign w:val="center"/>
          </w:tcPr>
          <w:p w14:paraId="1040F2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焙烤食品（自制）</w:t>
            </w:r>
          </w:p>
        </w:tc>
        <w:tc>
          <w:tcPr>
            <w:tcW w:w="461" w:type="pct"/>
            <w:noWrap w:val="0"/>
            <w:vAlign w:val="center"/>
          </w:tcPr>
          <w:p w14:paraId="4D698B7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糕点（自制）</w:t>
            </w:r>
          </w:p>
        </w:tc>
        <w:tc>
          <w:tcPr>
            <w:tcW w:w="1557" w:type="pct"/>
            <w:noWrap w:val="0"/>
            <w:vAlign w:val="center"/>
          </w:tcPr>
          <w:p w14:paraId="6A3D3C9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酸价（以脂肪计）（KOH）、过氧化值（以脂肪计）</w:t>
            </w:r>
          </w:p>
        </w:tc>
        <w:tc>
          <w:tcPr>
            <w:tcW w:w="1438" w:type="pct"/>
            <w:noWrap w:val="0"/>
            <w:vAlign w:val="center"/>
          </w:tcPr>
          <w:p w14:paraId="07821C3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山梨酸及其钾盐（以山梨酸计）、脱氢乙酸及其钠盐（以脱氢乙酸计）、防腐剂混合使用时各自用量占其最大使用量的比例之和、铝的残留量（干样品，以Al计）</w:t>
            </w:r>
          </w:p>
        </w:tc>
      </w:tr>
      <w:tr w14:paraId="67F69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A08633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3C2EA7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57361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455" w:type="pct"/>
            <w:vMerge w:val="continue"/>
            <w:noWrap w:val="0"/>
            <w:vAlign w:val="center"/>
          </w:tcPr>
          <w:p w14:paraId="65B3C9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461" w:type="pct"/>
            <w:noWrap w:val="0"/>
            <w:vAlign w:val="center"/>
          </w:tcPr>
          <w:p w14:paraId="22F3D6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面包</w:t>
            </w:r>
          </w:p>
          <w:p w14:paraId="76A47B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（自制）</w:t>
            </w:r>
          </w:p>
        </w:tc>
        <w:tc>
          <w:tcPr>
            <w:tcW w:w="1557" w:type="pct"/>
            <w:noWrap w:val="0"/>
            <w:vAlign w:val="center"/>
          </w:tcPr>
          <w:p w14:paraId="09A9DB8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Cs/>
                <w:color w:val="auto"/>
                <w:kern w:val="0"/>
                <w:sz w:val="21"/>
                <w:szCs w:val="21"/>
                <w:lang w:val="en-US" w:eastAsia="zh-CN" w:bidi="ar"/>
              </w:rPr>
            </w:pPr>
            <w:r>
              <w:rPr>
                <w:rFonts w:hint="eastAsia" w:ascii="宋体" w:hAnsi="宋体" w:eastAsia="宋体" w:cs="宋体"/>
                <w:bCs/>
                <w:color w:val="auto"/>
                <w:kern w:val="0"/>
                <w:sz w:val="21"/>
                <w:szCs w:val="21"/>
                <w:lang w:val="en-US" w:eastAsia="zh-CN" w:bidi="ar"/>
              </w:rPr>
              <w:t>酸价（以脂肪计）（KOH）、过氧化值（以脂肪计）</w:t>
            </w:r>
          </w:p>
        </w:tc>
        <w:tc>
          <w:tcPr>
            <w:tcW w:w="1438" w:type="pct"/>
            <w:noWrap w:val="0"/>
            <w:vAlign w:val="center"/>
          </w:tcPr>
          <w:p w14:paraId="4E68F44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Cs/>
                <w:color w:val="auto"/>
                <w:kern w:val="0"/>
                <w:sz w:val="21"/>
                <w:szCs w:val="21"/>
                <w:lang w:eastAsia="zh-CN" w:bidi="ar"/>
              </w:rPr>
              <w:t>山梨酸及其钾盐（以山梨酸计）、脱氢乙酸及其钠盐（以脱氢乙酸计）、</w:t>
            </w:r>
            <w:r>
              <w:rPr>
                <w:rFonts w:hint="eastAsia" w:ascii="宋体" w:hAnsi="宋体" w:eastAsia="宋体" w:cs="宋体"/>
                <w:bCs/>
                <w:color w:val="auto"/>
                <w:kern w:val="0"/>
                <w:sz w:val="21"/>
                <w:szCs w:val="21"/>
                <w:lang w:val="en-US" w:eastAsia="zh-CN" w:bidi="ar"/>
              </w:rPr>
              <w:t>铝的残留量（干样品，以Al 计）、防腐剂混合使用时各自用量占其最大使用量的比例之和</w:t>
            </w:r>
          </w:p>
        </w:tc>
      </w:tr>
      <w:tr w14:paraId="42FBD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E7BB80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4200F5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597AC6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食用油、油脂及其制品（自制）</w:t>
            </w:r>
          </w:p>
        </w:tc>
        <w:tc>
          <w:tcPr>
            <w:tcW w:w="455" w:type="pct"/>
            <w:noWrap w:val="0"/>
            <w:vAlign w:val="center"/>
          </w:tcPr>
          <w:p w14:paraId="081DDC3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食用油、油脂及其制品（自制）</w:t>
            </w:r>
          </w:p>
        </w:tc>
        <w:tc>
          <w:tcPr>
            <w:tcW w:w="461" w:type="pct"/>
            <w:noWrap w:val="0"/>
            <w:vAlign w:val="center"/>
          </w:tcPr>
          <w:p w14:paraId="7B7B97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煎炸过程用油</w:t>
            </w:r>
          </w:p>
        </w:tc>
        <w:tc>
          <w:tcPr>
            <w:tcW w:w="1557" w:type="pct"/>
            <w:noWrap w:val="0"/>
            <w:vAlign w:val="center"/>
          </w:tcPr>
          <w:p w14:paraId="0287A97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极性组分、酸价（KOH）</w:t>
            </w:r>
          </w:p>
        </w:tc>
        <w:tc>
          <w:tcPr>
            <w:tcW w:w="1438" w:type="pct"/>
            <w:noWrap w:val="0"/>
            <w:vAlign w:val="center"/>
          </w:tcPr>
          <w:p w14:paraId="6E5ED10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2FC7C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71759F2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08" w:type="pct"/>
            <w:vMerge w:val="restart"/>
            <w:noWrap w:val="0"/>
            <w:vAlign w:val="center"/>
          </w:tcPr>
          <w:p w14:paraId="1B4DA91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餐饮食品</w:t>
            </w:r>
          </w:p>
        </w:tc>
        <w:tc>
          <w:tcPr>
            <w:tcW w:w="423" w:type="pct"/>
            <w:noWrap w:val="0"/>
            <w:vAlign w:val="center"/>
          </w:tcPr>
          <w:p w14:paraId="00AD43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淀粉制品（自制）</w:t>
            </w:r>
          </w:p>
        </w:tc>
        <w:tc>
          <w:tcPr>
            <w:tcW w:w="455" w:type="pct"/>
            <w:noWrap w:val="0"/>
            <w:vAlign w:val="center"/>
          </w:tcPr>
          <w:p w14:paraId="344E07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粉丝粉条（自制）</w:t>
            </w:r>
          </w:p>
        </w:tc>
        <w:tc>
          <w:tcPr>
            <w:tcW w:w="461" w:type="pct"/>
            <w:noWrap w:val="0"/>
            <w:vAlign w:val="center"/>
          </w:tcPr>
          <w:p w14:paraId="643DD9B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粉丝粉条</w:t>
            </w:r>
          </w:p>
          <w:p w14:paraId="2CF088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1557" w:type="pct"/>
            <w:noWrap w:val="0"/>
            <w:vAlign w:val="center"/>
          </w:tcPr>
          <w:p w14:paraId="6726B72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铝的残留量（干样品，以Al计）、脱氢乙酸及其钠盐（以脱氢乙酸计）</w:t>
            </w:r>
          </w:p>
        </w:tc>
        <w:tc>
          <w:tcPr>
            <w:tcW w:w="1438" w:type="pct"/>
            <w:noWrap w:val="0"/>
            <w:vAlign w:val="center"/>
          </w:tcPr>
          <w:p w14:paraId="7321FE9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5400D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5A5185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E83B89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noWrap w:val="0"/>
            <w:vAlign w:val="center"/>
          </w:tcPr>
          <w:p w14:paraId="3A1E904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饮料</w:t>
            </w:r>
          </w:p>
          <w:p w14:paraId="75BE458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55" w:type="pct"/>
            <w:noWrap w:val="0"/>
            <w:vAlign w:val="center"/>
          </w:tcPr>
          <w:p w14:paraId="3B4BA10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饮料</w:t>
            </w:r>
          </w:p>
          <w:p w14:paraId="76BCF1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（自制）</w:t>
            </w:r>
          </w:p>
        </w:tc>
        <w:tc>
          <w:tcPr>
            <w:tcW w:w="461" w:type="pct"/>
            <w:noWrap w:val="0"/>
            <w:vAlign w:val="center"/>
          </w:tcPr>
          <w:p w14:paraId="43C051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奶茶（自制）</w:t>
            </w:r>
          </w:p>
        </w:tc>
        <w:tc>
          <w:tcPr>
            <w:tcW w:w="1557" w:type="pct"/>
            <w:noWrap w:val="0"/>
            <w:vAlign w:val="center"/>
          </w:tcPr>
          <w:p w14:paraId="5FD88B3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脱氢乙酸及其钠盐（以脱氢乙酸计）</w:t>
            </w:r>
          </w:p>
        </w:tc>
        <w:tc>
          <w:tcPr>
            <w:tcW w:w="1438" w:type="pct"/>
            <w:noWrap w:val="0"/>
            <w:vAlign w:val="center"/>
          </w:tcPr>
          <w:p w14:paraId="7D22799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p>
        </w:tc>
      </w:tr>
      <w:tr w14:paraId="4650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0F0D00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408" w:type="pct"/>
            <w:vMerge w:val="restart"/>
            <w:noWrap w:val="0"/>
            <w:vAlign w:val="center"/>
          </w:tcPr>
          <w:p w14:paraId="70FE501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食品添加剂</w:t>
            </w:r>
          </w:p>
        </w:tc>
        <w:tc>
          <w:tcPr>
            <w:tcW w:w="423" w:type="pct"/>
            <w:vMerge w:val="restart"/>
            <w:noWrap w:val="0"/>
            <w:vAlign w:val="center"/>
          </w:tcPr>
          <w:p w14:paraId="7C9D9F0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食品添加剂</w:t>
            </w:r>
          </w:p>
        </w:tc>
        <w:tc>
          <w:tcPr>
            <w:tcW w:w="455" w:type="pct"/>
            <w:noWrap w:val="0"/>
            <w:vAlign w:val="center"/>
          </w:tcPr>
          <w:p w14:paraId="7F9D3D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复配食品添加剂</w:t>
            </w:r>
          </w:p>
        </w:tc>
        <w:tc>
          <w:tcPr>
            <w:tcW w:w="461" w:type="pct"/>
            <w:noWrap w:val="0"/>
            <w:vAlign w:val="center"/>
          </w:tcPr>
          <w:p w14:paraId="2417256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复配食品添加剂</w:t>
            </w:r>
          </w:p>
        </w:tc>
        <w:tc>
          <w:tcPr>
            <w:tcW w:w="1557" w:type="pct"/>
            <w:noWrap w:val="0"/>
            <w:vAlign w:val="center"/>
          </w:tcPr>
          <w:p w14:paraId="4F9A36C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F61BCA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铅（Pb）、砷（以As计）、致病性微生物</w:t>
            </w:r>
          </w:p>
        </w:tc>
      </w:tr>
      <w:tr w14:paraId="48A3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741056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BEFDE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ABDB2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02682E0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食品用香精</w:t>
            </w:r>
          </w:p>
        </w:tc>
        <w:tc>
          <w:tcPr>
            <w:tcW w:w="461" w:type="pct"/>
            <w:noWrap w:val="0"/>
            <w:vAlign w:val="center"/>
          </w:tcPr>
          <w:p w14:paraId="74EACF1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食品用香精</w:t>
            </w:r>
          </w:p>
        </w:tc>
        <w:tc>
          <w:tcPr>
            <w:tcW w:w="1557" w:type="pct"/>
            <w:noWrap w:val="0"/>
            <w:vAlign w:val="center"/>
          </w:tcPr>
          <w:p w14:paraId="7315D5C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51AA60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砷（以As计）含量/无机砷含量、菌落总数</w:t>
            </w:r>
          </w:p>
        </w:tc>
      </w:tr>
      <w:tr w14:paraId="4EE2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C59D06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72B037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93DEF2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790796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单一食品添加剂</w:t>
            </w:r>
          </w:p>
        </w:tc>
        <w:tc>
          <w:tcPr>
            <w:tcW w:w="461" w:type="pct"/>
            <w:noWrap w:val="0"/>
            <w:vAlign w:val="center"/>
          </w:tcPr>
          <w:p w14:paraId="1AC287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明胶</w:t>
            </w:r>
          </w:p>
        </w:tc>
        <w:tc>
          <w:tcPr>
            <w:tcW w:w="1557" w:type="pct"/>
            <w:noWrap w:val="0"/>
            <w:vAlign w:val="center"/>
          </w:tcPr>
          <w:p w14:paraId="7459632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413644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铬（Cr）、铅（Pb）、总砷（As）、二氧化硫、过氧化物</w:t>
            </w:r>
          </w:p>
        </w:tc>
      </w:tr>
      <w:tr w14:paraId="79C48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F755B9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810670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00D9CB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904508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DB1AF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w:t>
            </w:r>
          </w:p>
        </w:tc>
        <w:tc>
          <w:tcPr>
            <w:tcW w:w="1557" w:type="pct"/>
            <w:noWrap w:val="0"/>
            <w:vAlign w:val="center"/>
          </w:tcPr>
          <w:p w14:paraId="4AA088E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EF93F7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糖精钠含量、干燥失重、总砷（以As计）、铅（Pb）、酸度和碱度、苯甲酸盐和水杨酸盐</w:t>
            </w:r>
          </w:p>
        </w:tc>
      </w:tr>
      <w:tr w14:paraId="3C70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B476F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8FF869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425EE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05214D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CE327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环己基氨基磺酸钠（又名甜蜜素）</w:t>
            </w:r>
          </w:p>
        </w:tc>
        <w:tc>
          <w:tcPr>
            <w:tcW w:w="1557" w:type="pct"/>
            <w:noWrap w:val="0"/>
            <w:vAlign w:val="center"/>
          </w:tcPr>
          <w:p w14:paraId="5C58242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477FC2C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环己基氨基磺酸钠含量（以干基计）、硫酸盐（以SO</w:t>
            </w:r>
            <w:r>
              <w:rPr>
                <w:rFonts w:hint="eastAsia" w:ascii="宋体" w:hAnsi="宋体" w:eastAsia="宋体" w:cs="宋体"/>
                <w:i w:val="0"/>
                <w:iCs w:val="0"/>
                <w:color w:val="000000"/>
                <w:kern w:val="0"/>
                <w:sz w:val="21"/>
                <w:szCs w:val="21"/>
                <w:u w:val="none"/>
                <w:vertAlign w:val="subscript"/>
                <w:lang w:val="en-US" w:eastAsia="zh-CN" w:bidi="ar"/>
              </w:rPr>
              <w:t>4</w:t>
            </w:r>
            <w:r>
              <w:rPr>
                <w:rFonts w:hint="eastAsia" w:ascii="宋体" w:hAnsi="宋体" w:eastAsia="宋体" w:cs="宋体"/>
                <w:i w:val="0"/>
                <w:iCs w:val="0"/>
                <w:color w:val="000000"/>
                <w:kern w:val="0"/>
                <w:sz w:val="21"/>
                <w:szCs w:val="21"/>
                <w:u w:val="none"/>
                <w:lang w:val="en-US" w:eastAsia="zh-CN" w:bidi="ar"/>
              </w:rPr>
              <w:t>计）、pH（100g/L水溶液）、干燥减量、氨基磺酸、环己胺、双环己胺、吸光值（100g/L溶液）、透明度（以100g/L溶液的透光率表示）、重金属（以Pb计）、砷（As）</w:t>
            </w:r>
          </w:p>
        </w:tc>
      </w:tr>
      <w:tr w14:paraId="6771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659CAF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06B9382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30C098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BBC90D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2BAF0C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碳酸钠</w:t>
            </w:r>
          </w:p>
        </w:tc>
        <w:tc>
          <w:tcPr>
            <w:tcW w:w="1557" w:type="pct"/>
            <w:noWrap w:val="0"/>
            <w:vAlign w:val="center"/>
          </w:tcPr>
          <w:p w14:paraId="47A1CA9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5556E37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总碱量（以Na</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CO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计）（以干基计）、总碱量（以Na</w:t>
            </w:r>
            <w:r>
              <w:rPr>
                <w:rFonts w:hint="eastAsia" w:ascii="宋体" w:hAnsi="宋体" w:eastAsia="宋体" w:cs="宋体"/>
                <w:i w:val="0"/>
                <w:iCs w:val="0"/>
                <w:color w:val="000000"/>
                <w:kern w:val="0"/>
                <w:sz w:val="21"/>
                <w:szCs w:val="21"/>
                <w:u w:val="none"/>
                <w:vertAlign w:val="subscript"/>
                <w:lang w:val="en-US" w:eastAsia="zh-CN" w:bidi="ar"/>
              </w:rPr>
              <w:t>2</w:t>
            </w:r>
            <w:r>
              <w:rPr>
                <w:rFonts w:hint="eastAsia" w:ascii="宋体" w:hAnsi="宋体" w:eastAsia="宋体" w:cs="宋体"/>
                <w:i w:val="0"/>
                <w:iCs w:val="0"/>
                <w:color w:val="000000"/>
                <w:kern w:val="0"/>
                <w:sz w:val="21"/>
                <w:szCs w:val="21"/>
                <w:u w:val="none"/>
                <w:lang w:val="en-US" w:eastAsia="zh-CN" w:bidi="ar"/>
              </w:rPr>
              <w:t>CO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计）（以湿基计）、水不溶物（以干基计）、氯化物（以NaCl计）（以干基计）、铁（Fe）（以干基计）、铅（Pb）（以干基计）、砷（As）（以干基计）</w:t>
            </w:r>
          </w:p>
        </w:tc>
      </w:tr>
      <w:tr w14:paraId="27B20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47BE30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DAE086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325554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51167A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A4965B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碳酸氢钠</w:t>
            </w:r>
          </w:p>
        </w:tc>
        <w:tc>
          <w:tcPr>
            <w:tcW w:w="1557" w:type="pct"/>
            <w:noWrap w:val="0"/>
            <w:vAlign w:val="center"/>
          </w:tcPr>
          <w:p w14:paraId="4524A53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65D586A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总碱量（以NaHCO</w:t>
            </w:r>
            <w:r>
              <w:rPr>
                <w:rFonts w:hint="eastAsia" w:ascii="宋体" w:hAnsi="宋体" w:eastAsia="宋体" w:cs="宋体"/>
                <w:i w:val="0"/>
                <w:iCs w:val="0"/>
                <w:color w:val="000000"/>
                <w:kern w:val="0"/>
                <w:sz w:val="21"/>
                <w:szCs w:val="21"/>
                <w:u w:val="none"/>
                <w:vertAlign w:val="subscript"/>
                <w:lang w:val="en-US" w:eastAsia="zh-CN" w:bidi="ar"/>
              </w:rPr>
              <w:t>3</w:t>
            </w:r>
            <w:r>
              <w:rPr>
                <w:rFonts w:hint="eastAsia" w:ascii="宋体" w:hAnsi="宋体" w:eastAsia="宋体" w:cs="宋体"/>
                <w:i w:val="0"/>
                <w:iCs w:val="0"/>
                <w:color w:val="000000"/>
                <w:kern w:val="0"/>
                <w:sz w:val="21"/>
                <w:szCs w:val="21"/>
                <w:u w:val="none"/>
                <w:lang w:val="en-US" w:eastAsia="zh-CN" w:bidi="ar"/>
              </w:rPr>
              <w:t>计）、干燥减量、pH（10g/L水溶液）、铵盐、澄清度、氯化物（以Cl计）、白度、砷（As）、重金属（以Pb计）</w:t>
            </w:r>
          </w:p>
        </w:tc>
      </w:tr>
      <w:tr w14:paraId="02DC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9D9EE8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AA81C5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21A2A3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3AA77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C9245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焦糖色</w:t>
            </w:r>
          </w:p>
        </w:tc>
        <w:tc>
          <w:tcPr>
            <w:tcW w:w="1557" w:type="pct"/>
            <w:noWrap w:val="0"/>
            <w:vAlign w:val="center"/>
          </w:tcPr>
          <w:p w14:paraId="5F77D1F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AD325D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吸光度E</w:t>
            </w:r>
            <w:r>
              <w:rPr>
                <w:rFonts w:hint="eastAsia" w:ascii="宋体" w:hAnsi="宋体" w:eastAsia="宋体" w:cs="宋体"/>
                <w:i w:val="0"/>
                <w:iCs w:val="0"/>
                <w:color w:val="000000"/>
                <w:kern w:val="0"/>
                <w:sz w:val="21"/>
                <w:szCs w:val="21"/>
                <w:u w:val="none"/>
                <w:vertAlign w:val="superscript"/>
                <w:lang w:val="en-US" w:eastAsia="zh-CN" w:bidi="ar"/>
              </w:rPr>
              <w:t>0.1%</w:t>
            </w:r>
            <w:r>
              <w:rPr>
                <w:rFonts w:hint="eastAsia" w:ascii="宋体" w:hAnsi="宋体" w:eastAsia="宋体" w:cs="宋体"/>
                <w:i w:val="0"/>
                <w:iCs w:val="0"/>
                <w:color w:val="000000"/>
                <w:kern w:val="0"/>
                <w:sz w:val="21"/>
                <w:szCs w:val="21"/>
                <w:u w:val="none"/>
                <w:vertAlign w:val="subscript"/>
                <w:lang w:val="en-US" w:eastAsia="zh-CN" w:bidi="ar"/>
              </w:rPr>
              <w:t>1cm</w:t>
            </w:r>
            <w:r>
              <w:rPr>
                <w:rFonts w:hint="eastAsia" w:ascii="宋体" w:hAnsi="宋体" w:eastAsia="宋体" w:cs="宋体"/>
                <w:i w:val="0"/>
                <w:iCs w:val="0"/>
                <w:color w:val="000000"/>
                <w:kern w:val="0"/>
                <w:sz w:val="21"/>
                <w:szCs w:val="21"/>
                <w:u w:val="none"/>
                <w:lang w:val="en-US" w:eastAsia="zh-CN" w:bidi="ar"/>
              </w:rPr>
              <w:t>（610nm）、氨氮（以N计）、二氧化硫（以SO₂计）、4-甲基咪唑、总氮（以N计）、总硫（以S计）、总砷（以As计）、铅（Pb）、总汞（以Hg计）</w:t>
            </w:r>
          </w:p>
        </w:tc>
      </w:tr>
      <w:tr w14:paraId="10BE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52C26A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ACA16A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015981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F5A06E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C1FE6B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蜂蜡</w:t>
            </w:r>
          </w:p>
        </w:tc>
        <w:tc>
          <w:tcPr>
            <w:tcW w:w="1557" w:type="pct"/>
            <w:noWrap w:val="0"/>
            <w:vAlign w:val="center"/>
          </w:tcPr>
          <w:p w14:paraId="4D01640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38" w:type="pct"/>
            <w:noWrap w:val="0"/>
            <w:vAlign w:val="center"/>
          </w:tcPr>
          <w:p w14:paraId="5F61CE6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highlight w:val="none"/>
                <w:u w:val="none"/>
                <w:lang w:val="en-US" w:eastAsia="zh-CN" w:bidi="ar"/>
              </w:rPr>
              <w:t>过氧化值，酸值（以KOH计），皂化值（以KOH计），熔程，甘油和其他多元醇，铅（Pb），巴西棕榈蜡，纯白地蜡、石蜡及其他蜡，脂肪、日本蜡、松脂和皂质</w:t>
            </w:r>
          </w:p>
        </w:tc>
      </w:tr>
      <w:tr w14:paraId="796D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2DBD30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12F926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77298A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1C97D6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15318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红曲米</w:t>
            </w:r>
          </w:p>
        </w:tc>
        <w:tc>
          <w:tcPr>
            <w:tcW w:w="1557" w:type="pct"/>
            <w:noWrap w:val="0"/>
            <w:vAlign w:val="center"/>
          </w:tcPr>
          <w:p w14:paraId="4886A4A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F5A6BB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水分、黄曲霉毒素B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、色价、细度150μm（100目）通过率、总砷（以As计）、重金属（以Pb计）、大肠菌群、沙门氏菌、志贺氏菌、金黄色葡萄球菌</w:t>
            </w:r>
          </w:p>
        </w:tc>
      </w:tr>
      <w:tr w14:paraId="673F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71558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D760B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71BE6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9F1F3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18ABF3F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红曲红</w:t>
            </w:r>
          </w:p>
        </w:tc>
        <w:tc>
          <w:tcPr>
            <w:tcW w:w="1557" w:type="pct"/>
            <w:noWrap w:val="0"/>
            <w:vAlign w:val="center"/>
          </w:tcPr>
          <w:p w14:paraId="02005F6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126A15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色价E</w:t>
            </w:r>
            <w:r>
              <w:rPr>
                <w:rFonts w:hint="eastAsia" w:ascii="宋体" w:hAnsi="宋体" w:eastAsia="宋体" w:cs="宋体"/>
                <w:i w:val="0"/>
                <w:iCs w:val="0"/>
                <w:color w:val="000000"/>
                <w:kern w:val="0"/>
                <w:sz w:val="21"/>
                <w:szCs w:val="21"/>
                <w:u w:val="none"/>
                <w:vertAlign w:val="superscript"/>
                <w:lang w:val="en-US" w:eastAsia="zh-CN" w:bidi="ar"/>
              </w:rPr>
              <w:t>1%</w:t>
            </w:r>
            <w:r>
              <w:rPr>
                <w:rFonts w:hint="eastAsia" w:ascii="宋体" w:hAnsi="宋体" w:eastAsia="宋体" w:cs="宋体"/>
                <w:i w:val="0"/>
                <w:iCs w:val="0"/>
                <w:color w:val="000000"/>
                <w:kern w:val="0"/>
                <w:sz w:val="21"/>
                <w:szCs w:val="21"/>
                <w:u w:val="none"/>
                <w:vertAlign w:val="subscript"/>
                <w:lang w:val="en-US" w:eastAsia="zh-CN" w:bidi="ar"/>
              </w:rPr>
              <w:t>1cm</w:t>
            </w:r>
            <w:r>
              <w:rPr>
                <w:rFonts w:hint="eastAsia" w:ascii="宋体" w:hAnsi="宋体" w:eastAsia="宋体" w:cs="宋体"/>
                <w:i w:val="0"/>
                <w:iCs w:val="0"/>
                <w:color w:val="000000"/>
                <w:kern w:val="0"/>
                <w:sz w:val="21"/>
                <w:szCs w:val="21"/>
                <w:u w:val="none"/>
                <w:lang w:val="en-US" w:eastAsia="zh-CN" w:bidi="ar"/>
              </w:rPr>
              <w:t>（495±10）nm、干燥减量、铅（Pb）、砷（As）</w:t>
            </w:r>
          </w:p>
        </w:tc>
      </w:tr>
      <w:tr w14:paraId="2FF6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F9D1F2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34E9D5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96E29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02AEA0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DC983E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红曲黄色素</w:t>
            </w:r>
          </w:p>
        </w:tc>
        <w:tc>
          <w:tcPr>
            <w:tcW w:w="1557" w:type="pct"/>
            <w:noWrap w:val="0"/>
            <w:vAlign w:val="center"/>
          </w:tcPr>
          <w:p w14:paraId="66A79C7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44FB21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色价E</w:t>
            </w:r>
            <w:r>
              <w:rPr>
                <w:rFonts w:hint="eastAsia" w:ascii="宋体" w:hAnsi="宋体" w:eastAsia="宋体" w:cs="宋体"/>
                <w:i w:val="0"/>
                <w:iCs w:val="0"/>
                <w:color w:val="000000"/>
                <w:kern w:val="0"/>
                <w:sz w:val="21"/>
                <w:szCs w:val="21"/>
                <w:u w:val="none"/>
                <w:vertAlign w:val="superscript"/>
                <w:lang w:val="en-US" w:eastAsia="zh-CN" w:bidi="ar"/>
              </w:rPr>
              <w:t>1%</w:t>
            </w:r>
            <w:r>
              <w:rPr>
                <w:rFonts w:hint="eastAsia" w:ascii="宋体" w:hAnsi="宋体" w:eastAsia="宋体" w:cs="宋体"/>
                <w:i w:val="0"/>
                <w:iCs w:val="0"/>
                <w:color w:val="000000"/>
                <w:kern w:val="0"/>
                <w:sz w:val="21"/>
                <w:szCs w:val="21"/>
                <w:u w:val="none"/>
                <w:vertAlign w:val="subscript"/>
                <w:lang w:val="en-US" w:eastAsia="zh-CN" w:bidi="ar"/>
              </w:rPr>
              <w:t>1cm</w:t>
            </w:r>
            <w:r>
              <w:rPr>
                <w:rFonts w:hint="eastAsia" w:ascii="宋体" w:hAnsi="宋体" w:eastAsia="宋体" w:cs="宋体"/>
                <w:i w:val="0"/>
                <w:iCs w:val="0"/>
                <w:color w:val="000000"/>
                <w:kern w:val="0"/>
                <w:sz w:val="21"/>
                <w:szCs w:val="21"/>
                <w:u w:val="none"/>
                <w:lang w:val="en-US" w:eastAsia="zh-CN" w:bidi="ar"/>
              </w:rPr>
              <w:t>（476±10）nm、干燥减量、灼烧残渣、铅（Pb）、总砷（以As计）</w:t>
            </w:r>
          </w:p>
        </w:tc>
      </w:tr>
      <w:tr w14:paraId="13A0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AEA2A0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6850AD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347F05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211FE86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胶基</w:t>
            </w:r>
          </w:p>
        </w:tc>
        <w:tc>
          <w:tcPr>
            <w:tcW w:w="461" w:type="pct"/>
            <w:noWrap w:val="0"/>
            <w:vAlign w:val="center"/>
          </w:tcPr>
          <w:p w14:paraId="6DE2E1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胶基</w:t>
            </w:r>
          </w:p>
        </w:tc>
        <w:tc>
          <w:tcPr>
            <w:tcW w:w="1557" w:type="pct"/>
            <w:noWrap w:val="0"/>
            <w:vAlign w:val="center"/>
          </w:tcPr>
          <w:p w14:paraId="2423C75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538B8C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铅（Pb）、总砷（以As计）</w:t>
            </w:r>
          </w:p>
        </w:tc>
      </w:tr>
      <w:tr w14:paraId="21FA2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09C14CA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408" w:type="pct"/>
            <w:noWrap w:val="0"/>
            <w:vAlign w:val="center"/>
          </w:tcPr>
          <w:p w14:paraId="57E7082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食品添加剂</w:t>
            </w:r>
          </w:p>
        </w:tc>
        <w:tc>
          <w:tcPr>
            <w:tcW w:w="423" w:type="pct"/>
            <w:noWrap w:val="0"/>
            <w:vAlign w:val="center"/>
          </w:tcPr>
          <w:p w14:paraId="06F894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食品添加剂</w:t>
            </w:r>
          </w:p>
        </w:tc>
        <w:tc>
          <w:tcPr>
            <w:tcW w:w="455" w:type="pct"/>
            <w:noWrap w:val="0"/>
            <w:vAlign w:val="center"/>
          </w:tcPr>
          <w:p w14:paraId="0F7CCD9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食品工业用酶制剂</w:t>
            </w:r>
          </w:p>
        </w:tc>
        <w:tc>
          <w:tcPr>
            <w:tcW w:w="461" w:type="pct"/>
            <w:noWrap w:val="0"/>
            <w:vAlign w:val="center"/>
          </w:tcPr>
          <w:p w14:paraId="651DC1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食品工业用酶制剂</w:t>
            </w:r>
          </w:p>
        </w:tc>
        <w:tc>
          <w:tcPr>
            <w:tcW w:w="1557" w:type="pct"/>
            <w:noWrap w:val="0"/>
            <w:vAlign w:val="center"/>
          </w:tcPr>
          <w:p w14:paraId="1FC02E5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EC575C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铅（Pb）、总砷（以As计）、菌落总数、大肠菌群、大肠埃希氏菌、沙门氏菌、抗菌活性</w:t>
            </w:r>
          </w:p>
        </w:tc>
      </w:tr>
      <w:tr w14:paraId="6540E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618591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32</w:t>
            </w:r>
          </w:p>
        </w:tc>
        <w:tc>
          <w:tcPr>
            <w:tcW w:w="408" w:type="pct"/>
            <w:vMerge w:val="restart"/>
            <w:noWrap w:val="0"/>
            <w:vAlign w:val="center"/>
          </w:tcPr>
          <w:p w14:paraId="492796B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畜禽肉及副产品</w:t>
            </w:r>
          </w:p>
        </w:tc>
        <w:tc>
          <w:tcPr>
            <w:tcW w:w="423" w:type="pct"/>
            <w:vMerge w:val="restart"/>
            <w:noWrap w:val="0"/>
            <w:vAlign w:val="center"/>
          </w:tcPr>
          <w:p w14:paraId="7BC27B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畜禽肉及副产品</w:t>
            </w:r>
          </w:p>
        </w:tc>
        <w:tc>
          <w:tcPr>
            <w:tcW w:w="455" w:type="pct"/>
            <w:vMerge w:val="restart"/>
            <w:noWrap w:val="0"/>
            <w:vAlign w:val="center"/>
          </w:tcPr>
          <w:p w14:paraId="7C1BA6E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畜肉</w:t>
            </w:r>
          </w:p>
        </w:tc>
        <w:tc>
          <w:tcPr>
            <w:tcW w:w="461" w:type="pct"/>
            <w:noWrap w:val="0"/>
            <w:vAlign w:val="center"/>
          </w:tcPr>
          <w:p w14:paraId="00C3D4E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猪肉</w:t>
            </w:r>
          </w:p>
        </w:tc>
        <w:tc>
          <w:tcPr>
            <w:tcW w:w="1557" w:type="pct"/>
            <w:noWrap w:val="0"/>
            <w:vAlign w:val="center"/>
          </w:tcPr>
          <w:p w14:paraId="0EF13B4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氯霉素、替米考星、恩诺沙星</w:t>
            </w:r>
          </w:p>
        </w:tc>
        <w:tc>
          <w:tcPr>
            <w:tcW w:w="1438" w:type="pct"/>
            <w:noWrap w:val="0"/>
            <w:vAlign w:val="center"/>
          </w:tcPr>
          <w:p w14:paraId="44323D2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挥发性盐基氮、呋喃唑酮代谢物、呋喃西林代谢物、克伦特罗、莱克多巴胺、沙丁胺醇、喹乙醇、磺胺类（总量）、甲氧苄啶、氟苯尼考、多西环素、地塞米松、甲硝唑、氯丙嗪、土霉素/金霉素/四环素（组合含量）、林可霉素</w:t>
            </w:r>
          </w:p>
        </w:tc>
      </w:tr>
      <w:tr w14:paraId="31D4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C2A03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BD20A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2AF4DC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C43BDB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02A9A0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牛肉</w:t>
            </w:r>
          </w:p>
        </w:tc>
        <w:tc>
          <w:tcPr>
            <w:tcW w:w="1557" w:type="pct"/>
            <w:noWrap w:val="0"/>
            <w:vAlign w:val="center"/>
          </w:tcPr>
          <w:p w14:paraId="5DB8A0F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克伦特罗</w:t>
            </w:r>
          </w:p>
        </w:tc>
        <w:tc>
          <w:tcPr>
            <w:tcW w:w="1438" w:type="pct"/>
            <w:noWrap w:val="0"/>
            <w:vAlign w:val="center"/>
          </w:tcPr>
          <w:p w14:paraId="3E084A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挥发性盐基氮、水分、呋喃唑酮代谢物、呋喃西林代谢物、氯霉素、莱克多巴胺、沙丁胺醇、恩诺沙星、磺胺类（总量）、甲氧苄啶、氟苯尼考、多西环素、地塞米松、林可霉素、倍他米松、土霉素/金霉素/四环素（组合含量）</w:t>
            </w:r>
          </w:p>
        </w:tc>
      </w:tr>
      <w:tr w14:paraId="544E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B70551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44055CB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19D1C1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continue"/>
            <w:noWrap w:val="0"/>
            <w:vAlign w:val="center"/>
          </w:tcPr>
          <w:p w14:paraId="7D7A19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61" w:type="pct"/>
            <w:noWrap w:val="0"/>
            <w:vAlign w:val="center"/>
          </w:tcPr>
          <w:p w14:paraId="72F258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羊肉</w:t>
            </w:r>
          </w:p>
        </w:tc>
        <w:tc>
          <w:tcPr>
            <w:tcW w:w="1557" w:type="pct"/>
            <w:noWrap w:val="0"/>
            <w:vAlign w:val="center"/>
          </w:tcPr>
          <w:p w14:paraId="697C950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恩诺沙星</w:t>
            </w:r>
          </w:p>
        </w:tc>
        <w:tc>
          <w:tcPr>
            <w:tcW w:w="1438" w:type="pct"/>
            <w:noWrap w:val="0"/>
            <w:vAlign w:val="center"/>
          </w:tcPr>
          <w:p w14:paraId="5C01B6D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呋喃唑酮代谢物、呋喃西林代谢物、氯霉素、克伦特罗、莱克多巴胺、沙丁胺醇、磺胺类（总量）、氟苯尼考、林可霉素、环丙氨嗪、土霉素/金霉素/四环素（组合含量）</w:t>
            </w:r>
          </w:p>
        </w:tc>
      </w:tr>
      <w:tr w14:paraId="3DFF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CF194C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5F52A8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AB4EBC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A25A49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720B64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其他畜肉</w:t>
            </w:r>
          </w:p>
        </w:tc>
        <w:tc>
          <w:tcPr>
            <w:tcW w:w="1557" w:type="pct"/>
            <w:noWrap w:val="0"/>
            <w:vAlign w:val="center"/>
          </w:tcPr>
          <w:p w14:paraId="48EC5F8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442D40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呋喃唑酮代谢物、氯霉素、克伦特罗、莱克多巴胺、沙丁胺醇、氧氟沙星</w:t>
            </w:r>
          </w:p>
        </w:tc>
      </w:tr>
      <w:tr w14:paraId="414D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32B2BB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7EE4EE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E2B309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2D2D364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禽肉</w:t>
            </w:r>
          </w:p>
        </w:tc>
        <w:tc>
          <w:tcPr>
            <w:tcW w:w="461" w:type="pct"/>
            <w:noWrap w:val="0"/>
            <w:vAlign w:val="center"/>
          </w:tcPr>
          <w:p w14:paraId="3A889B2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鸡肉</w:t>
            </w:r>
          </w:p>
        </w:tc>
        <w:tc>
          <w:tcPr>
            <w:tcW w:w="1557" w:type="pct"/>
            <w:noWrap w:val="0"/>
            <w:vAlign w:val="center"/>
          </w:tcPr>
          <w:p w14:paraId="2F62580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尼卡巴嗪、多西环素</w:t>
            </w:r>
          </w:p>
        </w:tc>
        <w:tc>
          <w:tcPr>
            <w:tcW w:w="1438" w:type="pct"/>
            <w:noWrap w:val="0"/>
            <w:vAlign w:val="center"/>
          </w:tcPr>
          <w:p w14:paraId="65BE1C9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挥发性盐基氮、呋喃唑酮代谢物、呋喃西林代谢物、呋喃它酮代谢物、氯霉素、氧氟沙星、培氟沙星、诺氟沙星、恩诺沙星、沙拉沙星、替米考星、磺胺类（总量）、甲氧苄啶、氟苯尼考、甲硝唑、环丙氨嗪、土霉素/金霉素/四环素（组合含量）</w:t>
            </w:r>
          </w:p>
        </w:tc>
      </w:tr>
      <w:tr w14:paraId="552AE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B068EB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100876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19B31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78A03F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52ACD5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鸭肉</w:t>
            </w:r>
          </w:p>
        </w:tc>
        <w:tc>
          <w:tcPr>
            <w:tcW w:w="1557" w:type="pct"/>
            <w:noWrap w:val="0"/>
            <w:vAlign w:val="center"/>
          </w:tcPr>
          <w:p w14:paraId="3D3E5A9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呋喃唑酮代谢物、氟苯尼考</w:t>
            </w:r>
          </w:p>
        </w:tc>
        <w:tc>
          <w:tcPr>
            <w:tcW w:w="1438" w:type="pct"/>
            <w:noWrap w:val="0"/>
            <w:vAlign w:val="center"/>
          </w:tcPr>
          <w:p w14:paraId="3507133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呋喃妥因代谢物、氯霉素、氧氟沙星、恩诺沙星、磺胺类（总量）、多西环素、甲硝唑、环丙氨嗪</w:t>
            </w:r>
          </w:p>
        </w:tc>
      </w:tr>
      <w:tr w14:paraId="1520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B575B8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5C75C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DD5E9C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767043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F76A16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其他禽肉</w:t>
            </w:r>
          </w:p>
        </w:tc>
        <w:tc>
          <w:tcPr>
            <w:tcW w:w="1557" w:type="pct"/>
            <w:noWrap w:val="0"/>
            <w:vAlign w:val="center"/>
          </w:tcPr>
          <w:p w14:paraId="1CB22B2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0322BB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呋喃唑酮代谢物、氯霉素、氧氟沙星、恩诺沙星、磺胺类（总量）、多西环素、甲硝唑、环丙氨嗪</w:t>
            </w:r>
          </w:p>
        </w:tc>
      </w:tr>
      <w:tr w14:paraId="4541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947A17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F1A0A1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F60E84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0EFB8B5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畜副产品</w:t>
            </w:r>
          </w:p>
        </w:tc>
        <w:tc>
          <w:tcPr>
            <w:tcW w:w="461" w:type="pct"/>
            <w:noWrap w:val="0"/>
            <w:vAlign w:val="center"/>
          </w:tcPr>
          <w:p w14:paraId="780D03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猪肝</w:t>
            </w:r>
          </w:p>
        </w:tc>
        <w:tc>
          <w:tcPr>
            <w:tcW w:w="1557" w:type="pct"/>
            <w:noWrap w:val="0"/>
            <w:vAlign w:val="center"/>
          </w:tcPr>
          <w:p w14:paraId="6EEE467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590BD33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镉（以Cd计）、呋喃唑酮代谢物、呋喃西林代谢物、氯霉素、克伦特罗、莱克多巴胺、沙丁胺醇、恩诺沙星、磺胺类（总量）、甲氧苄啶、氯丙嗪</w:t>
            </w:r>
          </w:p>
        </w:tc>
      </w:tr>
      <w:tr w14:paraId="45CE0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1A1856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1A7CF2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388DB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69847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C6F78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牛肝</w:t>
            </w:r>
          </w:p>
        </w:tc>
        <w:tc>
          <w:tcPr>
            <w:tcW w:w="1557" w:type="pct"/>
            <w:noWrap w:val="0"/>
            <w:vAlign w:val="center"/>
          </w:tcPr>
          <w:p w14:paraId="1900A42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549DF4E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克伦特罗、莱克多巴胺、沙丁胺醇</w:t>
            </w:r>
          </w:p>
        </w:tc>
      </w:tr>
      <w:tr w14:paraId="59A3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ECC258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97281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D59290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D0B4ED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EEA68A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羊肝</w:t>
            </w:r>
          </w:p>
        </w:tc>
        <w:tc>
          <w:tcPr>
            <w:tcW w:w="1557" w:type="pct"/>
            <w:noWrap w:val="0"/>
            <w:vAlign w:val="center"/>
          </w:tcPr>
          <w:p w14:paraId="75A11BC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917FD5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克伦特罗、莱克多巴胺、沙丁胺醇、环丙氨嗪</w:t>
            </w:r>
          </w:p>
        </w:tc>
      </w:tr>
      <w:tr w14:paraId="4657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FD3486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ACA80D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29F56B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3531E3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04929E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猪肾</w:t>
            </w:r>
          </w:p>
        </w:tc>
        <w:tc>
          <w:tcPr>
            <w:tcW w:w="1557" w:type="pct"/>
            <w:noWrap w:val="0"/>
            <w:vAlign w:val="center"/>
          </w:tcPr>
          <w:p w14:paraId="00F2509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633FE8E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呋喃西林代谢物、氯霉素、克伦特罗、莱克多巴胺、沙丁胺醇、恩诺沙星、磺胺类（总量）、甲氧苄啶</w:t>
            </w:r>
          </w:p>
        </w:tc>
      </w:tr>
      <w:tr w14:paraId="5176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CA5A92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1B5273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14B757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913AE8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68D6F5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牛肾</w:t>
            </w:r>
          </w:p>
        </w:tc>
        <w:tc>
          <w:tcPr>
            <w:tcW w:w="1557" w:type="pct"/>
            <w:noWrap w:val="0"/>
            <w:vAlign w:val="center"/>
          </w:tcPr>
          <w:p w14:paraId="5712C09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4AF9E6E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克伦特罗、莱克多巴胺、沙丁胺醇、恩诺沙星</w:t>
            </w:r>
          </w:p>
        </w:tc>
      </w:tr>
      <w:tr w14:paraId="3AEA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096235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408" w:type="pct"/>
            <w:vMerge w:val="restart"/>
            <w:noWrap w:val="0"/>
            <w:vAlign w:val="center"/>
          </w:tcPr>
          <w:p w14:paraId="6332D5E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畜禽肉及副产品</w:t>
            </w:r>
          </w:p>
        </w:tc>
        <w:tc>
          <w:tcPr>
            <w:tcW w:w="423" w:type="pct"/>
            <w:vMerge w:val="restart"/>
            <w:noWrap w:val="0"/>
            <w:vAlign w:val="center"/>
          </w:tcPr>
          <w:p w14:paraId="5EE4439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畜禽肉及副产品</w:t>
            </w:r>
          </w:p>
        </w:tc>
        <w:tc>
          <w:tcPr>
            <w:tcW w:w="455" w:type="pct"/>
            <w:vMerge w:val="restart"/>
            <w:noWrap w:val="0"/>
            <w:vAlign w:val="center"/>
          </w:tcPr>
          <w:p w14:paraId="19E5C3E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畜副产品</w:t>
            </w:r>
          </w:p>
        </w:tc>
        <w:tc>
          <w:tcPr>
            <w:tcW w:w="461" w:type="pct"/>
            <w:noWrap w:val="0"/>
            <w:vAlign w:val="center"/>
          </w:tcPr>
          <w:p w14:paraId="1B1F40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羊肾</w:t>
            </w:r>
          </w:p>
        </w:tc>
        <w:tc>
          <w:tcPr>
            <w:tcW w:w="1557" w:type="pct"/>
            <w:noWrap w:val="0"/>
            <w:vAlign w:val="center"/>
          </w:tcPr>
          <w:p w14:paraId="51E5D5E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35AE71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镉（以Cd计）、克伦特罗、莱克多巴胺、沙丁胺醇、恩诺沙星、环丙氨嗪</w:t>
            </w:r>
          </w:p>
        </w:tc>
      </w:tr>
      <w:tr w14:paraId="0B05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013569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616972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C650D8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6003A7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A79948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其他畜副产品</w:t>
            </w:r>
          </w:p>
        </w:tc>
        <w:tc>
          <w:tcPr>
            <w:tcW w:w="1557" w:type="pct"/>
            <w:noWrap w:val="0"/>
            <w:vAlign w:val="center"/>
          </w:tcPr>
          <w:p w14:paraId="6EB0EFD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F4D4F9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呋喃唑酮代谢物、呋喃西林代谢物、氯霉素、克伦特罗、莱克多巴胺、沙丁胺醇</w:t>
            </w:r>
          </w:p>
        </w:tc>
      </w:tr>
      <w:tr w14:paraId="21CC1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009279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DB6E4B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A81E7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3315BF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禽副产品</w:t>
            </w:r>
          </w:p>
        </w:tc>
        <w:tc>
          <w:tcPr>
            <w:tcW w:w="461" w:type="pct"/>
            <w:noWrap w:val="0"/>
            <w:vAlign w:val="center"/>
          </w:tcPr>
          <w:p w14:paraId="224757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鸡肝</w:t>
            </w:r>
          </w:p>
        </w:tc>
        <w:tc>
          <w:tcPr>
            <w:tcW w:w="1557" w:type="pct"/>
            <w:noWrap w:val="0"/>
            <w:vAlign w:val="center"/>
          </w:tcPr>
          <w:p w14:paraId="5F389A4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57169E9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呋喃唑酮代谢物、呋喃西林代谢物、氯霉素、氧氟沙星、恩诺沙星、环丙氨嗪</w:t>
            </w:r>
          </w:p>
        </w:tc>
      </w:tr>
      <w:tr w14:paraId="69AD4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469BC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01274C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160690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EB8F98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635DAA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其他禽副产品</w:t>
            </w:r>
          </w:p>
        </w:tc>
        <w:tc>
          <w:tcPr>
            <w:tcW w:w="1557" w:type="pct"/>
            <w:noWrap w:val="0"/>
            <w:vAlign w:val="center"/>
          </w:tcPr>
          <w:p w14:paraId="136568A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423095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呋喃唑酮代谢物、呋喃西林代谢物、氯霉素、诺氟沙星、环丙氨嗪</w:t>
            </w:r>
          </w:p>
        </w:tc>
      </w:tr>
      <w:tr w14:paraId="4717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6D4F795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408" w:type="pct"/>
            <w:vMerge w:val="restart"/>
            <w:noWrap w:val="0"/>
            <w:vAlign w:val="center"/>
          </w:tcPr>
          <w:p w14:paraId="3AB9A2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w:t>
            </w:r>
          </w:p>
        </w:tc>
        <w:tc>
          <w:tcPr>
            <w:tcW w:w="423" w:type="pct"/>
            <w:vMerge w:val="restart"/>
            <w:noWrap w:val="0"/>
            <w:vAlign w:val="center"/>
          </w:tcPr>
          <w:p w14:paraId="7E21A9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蔬菜</w:t>
            </w:r>
          </w:p>
        </w:tc>
        <w:tc>
          <w:tcPr>
            <w:tcW w:w="455" w:type="pct"/>
            <w:noWrap w:val="0"/>
            <w:vAlign w:val="center"/>
          </w:tcPr>
          <w:p w14:paraId="21464E4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豆芽</w:t>
            </w:r>
          </w:p>
        </w:tc>
        <w:tc>
          <w:tcPr>
            <w:tcW w:w="461" w:type="pct"/>
            <w:noWrap w:val="0"/>
            <w:vAlign w:val="center"/>
          </w:tcPr>
          <w:p w14:paraId="47E31F0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豆芽</w:t>
            </w:r>
          </w:p>
        </w:tc>
        <w:tc>
          <w:tcPr>
            <w:tcW w:w="1557" w:type="pct"/>
            <w:noWrap w:val="0"/>
            <w:vAlign w:val="center"/>
          </w:tcPr>
          <w:p w14:paraId="357A9A7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4-氯苯氧乙酸钠（以4-氯苯氧乙酸计）、6-苄基腺嘌呤（6-BA）</w:t>
            </w:r>
          </w:p>
        </w:tc>
        <w:tc>
          <w:tcPr>
            <w:tcW w:w="1438" w:type="pct"/>
            <w:noWrap w:val="0"/>
            <w:vAlign w:val="center"/>
          </w:tcPr>
          <w:p w14:paraId="6F5C9ED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亚硫酸盐（以SO₂计）、铅（以Pb计）、总汞（以Hg计）</w:t>
            </w:r>
          </w:p>
        </w:tc>
      </w:tr>
      <w:tr w14:paraId="4ED5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CDEA39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AEC517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A5CCB6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77A08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鲜食用菌</w:t>
            </w:r>
          </w:p>
        </w:tc>
        <w:tc>
          <w:tcPr>
            <w:tcW w:w="461" w:type="pct"/>
            <w:noWrap w:val="0"/>
            <w:vAlign w:val="center"/>
          </w:tcPr>
          <w:p w14:paraId="60DF0B8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鲜食用菌</w:t>
            </w:r>
          </w:p>
        </w:tc>
        <w:tc>
          <w:tcPr>
            <w:tcW w:w="1557" w:type="pct"/>
            <w:noWrap w:val="0"/>
            <w:vAlign w:val="center"/>
          </w:tcPr>
          <w:p w14:paraId="084F37B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E07373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镉（以Cd计）、无机砷（以As计）、百菌清、除虫脲、氯氟氰菊酯和高效氯氟氰菊酯、氯氰菊酯和高效氯氰菊酯</w:t>
            </w:r>
          </w:p>
        </w:tc>
      </w:tr>
      <w:tr w14:paraId="1AE59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CC021E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0A6E2E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97E89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29AC64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鳞茎类蔬菜</w:t>
            </w:r>
          </w:p>
        </w:tc>
        <w:tc>
          <w:tcPr>
            <w:tcW w:w="461" w:type="pct"/>
            <w:noWrap w:val="0"/>
            <w:vAlign w:val="center"/>
          </w:tcPr>
          <w:p w14:paraId="355CBC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韭菜</w:t>
            </w:r>
          </w:p>
        </w:tc>
        <w:tc>
          <w:tcPr>
            <w:tcW w:w="1557" w:type="pct"/>
            <w:noWrap w:val="0"/>
            <w:vAlign w:val="center"/>
          </w:tcPr>
          <w:p w14:paraId="1C71C4E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毒死蜱</w:t>
            </w:r>
          </w:p>
        </w:tc>
        <w:tc>
          <w:tcPr>
            <w:tcW w:w="1438" w:type="pct"/>
            <w:noWrap w:val="0"/>
            <w:vAlign w:val="center"/>
          </w:tcPr>
          <w:p w14:paraId="5435871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三氯杀螨醇、氯氟氰菊酯和高效氯氟氰菊酯、镉（以Cd计）、腐霉利、氯氰菊酯和高效氯氰菊酯、甲拌磷、多菌灵、敌敌畏、克百威、辛硫磷、铅（以Pb计）、氟虫腈、乙酰甲胺磷、二甲戊灵、氧乐果、甲胺磷、水胺硫磷、乐果、阿维菌素、三唑磷、六六六</w:t>
            </w:r>
          </w:p>
        </w:tc>
      </w:tr>
      <w:tr w14:paraId="6D53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114DD0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F0B57A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6FCBCB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39FDBB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461" w:type="pct"/>
            <w:noWrap w:val="0"/>
            <w:vAlign w:val="center"/>
          </w:tcPr>
          <w:p w14:paraId="36B2395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pacing w:val="0"/>
                <w:kern w:val="0"/>
                <w:sz w:val="21"/>
                <w:szCs w:val="21"/>
                <w:highlight w:val="none"/>
                <w:u w:val="none"/>
                <w:lang w:val="en-US" w:eastAsia="zh-CN" w:bidi="ar"/>
              </w:rPr>
              <w:t>百合</w:t>
            </w:r>
          </w:p>
        </w:tc>
        <w:tc>
          <w:tcPr>
            <w:tcW w:w="1557" w:type="pct"/>
            <w:noWrap w:val="0"/>
            <w:vAlign w:val="center"/>
          </w:tcPr>
          <w:p w14:paraId="760553A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镉（以Cd计）</w:t>
            </w:r>
          </w:p>
        </w:tc>
        <w:tc>
          <w:tcPr>
            <w:tcW w:w="1438" w:type="pct"/>
            <w:noWrap w:val="0"/>
            <w:vAlign w:val="center"/>
          </w:tcPr>
          <w:p w14:paraId="711E8AD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总汞（以Hg计）、毒死蜱</w:t>
            </w:r>
          </w:p>
        </w:tc>
      </w:tr>
      <w:tr w14:paraId="47FCB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1AD03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980437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D6DD57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C286D1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461" w:type="pct"/>
            <w:noWrap w:val="0"/>
            <w:vAlign w:val="center"/>
          </w:tcPr>
          <w:p w14:paraId="73C14A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pacing w:val="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葱</w:t>
            </w:r>
          </w:p>
        </w:tc>
        <w:tc>
          <w:tcPr>
            <w:tcW w:w="1557" w:type="pct"/>
            <w:noWrap w:val="0"/>
            <w:vAlign w:val="center"/>
          </w:tcPr>
          <w:p w14:paraId="61FFCD5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噻虫嗪</w:t>
            </w:r>
          </w:p>
        </w:tc>
        <w:tc>
          <w:tcPr>
            <w:tcW w:w="1438" w:type="pct"/>
            <w:noWrap w:val="0"/>
            <w:vAlign w:val="center"/>
          </w:tcPr>
          <w:p w14:paraId="39A370B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乙酰甲胺磷、毒死蜱、戊唑醇、氯氟氰菊酯和高效氯氟氰菊酯、丙环唑、铅（以Pb计）、氧乐果、镉（以Cd计）、水胺硫磷、甲拌磷、甲基异柳磷、三唑磷、克百威</w:t>
            </w:r>
          </w:p>
        </w:tc>
      </w:tr>
      <w:tr w14:paraId="69B1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A996A4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w:t>
            </w:r>
          </w:p>
        </w:tc>
        <w:tc>
          <w:tcPr>
            <w:tcW w:w="408" w:type="pct"/>
            <w:vMerge w:val="continue"/>
            <w:noWrap w:val="0"/>
            <w:vAlign w:val="center"/>
          </w:tcPr>
          <w:p w14:paraId="1CCC03D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9F1A6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67E738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芸薹属类蔬菜</w:t>
            </w:r>
          </w:p>
        </w:tc>
        <w:tc>
          <w:tcPr>
            <w:tcW w:w="461" w:type="pct"/>
            <w:noWrap w:val="0"/>
            <w:vAlign w:val="center"/>
          </w:tcPr>
          <w:p w14:paraId="325955C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菜薹</w:t>
            </w:r>
          </w:p>
        </w:tc>
        <w:tc>
          <w:tcPr>
            <w:tcW w:w="1557" w:type="pct"/>
            <w:noWrap w:val="0"/>
            <w:vAlign w:val="center"/>
          </w:tcPr>
          <w:p w14:paraId="408D622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66B8879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镉（以Cd计）、吡虫啉、啶虫脒、毒死蜱、氟虫腈、联苯菊酯、噻虫胺</w:t>
            </w:r>
          </w:p>
        </w:tc>
      </w:tr>
      <w:tr w14:paraId="5413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3D8C0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7BD4E3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949B1E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77D6A0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叶菜类蔬菜</w:t>
            </w:r>
          </w:p>
        </w:tc>
        <w:tc>
          <w:tcPr>
            <w:tcW w:w="461" w:type="pct"/>
            <w:noWrap w:val="0"/>
            <w:vAlign w:val="center"/>
          </w:tcPr>
          <w:p w14:paraId="17343A1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菠菜</w:t>
            </w:r>
          </w:p>
        </w:tc>
        <w:tc>
          <w:tcPr>
            <w:tcW w:w="1557" w:type="pct"/>
            <w:noWrap w:val="0"/>
            <w:vAlign w:val="center"/>
          </w:tcPr>
          <w:p w14:paraId="2970D06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82FB29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铅（以Pb计）、镉（以Cd计）、铬（以Cr计）、阿维菌素、毒死蜱、氟虫腈、腐霉利、甲氨基阿维菌素苯甲酸盐、甲拌磷、乐果、氯氟氰菊酯和高效氯氟氰菊酯、水胺硫磷、氧乐果、乙酰甲胺磷</w:t>
            </w:r>
          </w:p>
        </w:tc>
      </w:tr>
      <w:tr w14:paraId="0E0DC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901DF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94A274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C5306C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C355EB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2D0C7E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大白菜</w:t>
            </w:r>
          </w:p>
        </w:tc>
        <w:tc>
          <w:tcPr>
            <w:tcW w:w="1557" w:type="pct"/>
            <w:noWrap w:val="0"/>
            <w:vAlign w:val="center"/>
          </w:tcPr>
          <w:p w14:paraId="1D23729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13DB7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镉（以Cd计）、阿维菌素、吡虫啉、毒死蜱、氟虫腈、甲拌磷、乐果、氧乐果、乙酰甲胺磷</w:t>
            </w:r>
          </w:p>
        </w:tc>
      </w:tr>
      <w:tr w14:paraId="6E57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9769EC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43F04B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81663D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0162A7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1EED8C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普通白菜（小白菜、小油菜、青菜）</w:t>
            </w:r>
          </w:p>
        </w:tc>
        <w:tc>
          <w:tcPr>
            <w:tcW w:w="1557" w:type="pct"/>
            <w:noWrap w:val="0"/>
            <w:vAlign w:val="center"/>
          </w:tcPr>
          <w:p w14:paraId="3EA6511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70B7967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阿维菌素、吡虫啉、敌敌畏、啶虫脒、毒死蜱、氟虫腈、氟氯氰菊酯和高效氟氯氰菊酯、甲氨基阿维菌素苯甲酸盐、甲拌磷、甲基异柳磷、克百威、氯氟氰菊酯和高效氯氟氰菊酯、氯氰菊酯和高效氯氰菊酯、噻虫胺、水胺硫磷、氧乐果、乙酰甲胺磷</w:t>
            </w:r>
          </w:p>
        </w:tc>
      </w:tr>
      <w:tr w14:paraId="7FD29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6B8AB5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408" w:type="pct"/>
            <w:vMerge w:val="restart"/>
            <w:noWrap w:val="0"/>
            <w:vAlign w:val="center"/>
          </w:tcPr>
          <w:p w14:paraId="2BA5157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w:t>
            </w:r>
          </w:p>
        </w:tc>
        <w:tc>
          <w:tcPr>
            <w:tcW w:w="423" w:type="pct"/>
            <w:vMerge w:val="restart"/>
            <w:noWrap w:val="0"/>
            <w:vAlign w:val="center"/>
          </w:tcPr>
          <w:p w14:paraId="019874B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w:t>
            </w:r>
          </w:p>
        </w:tc>
        <w:tc>
          <w:tcPr>
            <w:tcW w:w="455" w:type="pct"/>
            <w:vMerge w:val="restart"/>
            <w:noWrap w:val="0"/>
            <w:vAlign w:val="center"/>
          </w:tcPr>
          <w:p w14:paraId="6F0CF6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pacing w:val="0"/>
                <w:sz w:val="21"/>
                <w:szCs w:val="21"/>
                <w:u w:val="none"/>
              </w:rPr>
              <w:t>叶菜类蔬菜</w:t>
            </w:r>
          </w:p>
        </w:tc>
        <w:tc>
          <w:tcPr>
            <w:tcW w:w="461" w:type="pct"/>
            <w:noWrap w:val="0"/>
            <w:vAlign w:val="center"/>
          </w:tcPr>
          <w:p w14:paraId="61E5013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芹菜</w:t>
            </w:r>
          </w:p>
        </w:tc>
        <w:tc>
          <w:tcPr>
            <w:tcW w:w="1557" w:type="pct"/>
            <w:noWrap w:val="0"/>
            <w:vAlign w:val="center"/>
          </w:tcPr>
          <w:p w14:paraId="4AA76E9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噻虫胺、毒死蜱</w:t>
            </w:r>
          </w:p>
        </w:tc>
        <w:tc>
          <w:tcPr>
            <w:tcW w:w="1438" w:type="pct"/>
            <w:noWrap w:val="0"/>
            <w:vAlign w:val="center"/>
          </w:tcPr>
          <w:p w14:paraId="75B9D59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甲拌磷、辛硫磷、苯醚甲环唑、甲基异柳磷、百菌清、氯氟氰菊酯和高效氯氟氰菊酯、二甲戊灵、铅（以Pb计）、阿维菌素、腈菌唑、噻虫嗪、氧乐果、乐果、乙酰甲胺磷、啶虫脒、克百威、敌敌畏、水胺硫磷、镉（以Cd计）、氟虫腈、三氯杀螨醇、氯氰菊酯和高效氯氰菊酯</w:t>
            </w:r>
          </w:p>
        </w:tc>
      </w:tr>
      <w:tr w14:paraId="7C4D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6D6E67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D8CFEB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833E0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565CAF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FD8BD0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油麦菜</w:t>
            </w:r>
          </w:p>
        </w:tc>
        <w:tc>
          <w:tcPr>
            <w:tcW w:w="1557" w:type="pct"/>
            <w:noWrap w:val="0"/>
            <w:vAlign w:val="center"/>
          </w:tcPr>
          <w:p w14:paraId="59E1939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24A02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阿维菌素、吡虫啉、啶虫脒、毒死蜱、氟虫腈、甲氨基阿维菌素苯甲酸盐、甲拌磷、腈菌唑、克百威、氯氟氰菊酯和高效氯氟氰菊酯、灭多威、噻虫嗪、三氯杀螨醇、氧乐果、乙酰甲胺磷</w:t>
            </w:r>
          </w:p>
        </w:tc>
      </w:tr>
      <w:tr w14:paraId="2CE1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F46146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A1DFA3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61E237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CE4733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0B86064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pacing w:val="0"/>
                <w:kern w:val="0"/>
                <w:sz w:val="21"/>
                <w:szCs w:val="21"/>
                <w:u w:val="none"/>
                <w:lang w:val="en-US" w:eastAsia="zh-CN" w:bidi="ar"/>
              </w:rPr>
              <w:t>蕹菜</w:t>
            </w:r>
          </w:p>
        </w:tc>
        <w:tc>
          <w:tcPr>
            <w:tcW w:w="1557" w:type="pct"/>
            <w:noWrap w:val="0"/>
            <w:vAlign w:val="center"/>
          </w:tcPr>
          <w:p w14:paraId="3F0BC77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5320EFC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镉（以Cd计）、氧乐果、敌敌畏、甲拌磷、水胺硫磷、氟虫腈</w:t>
            </w:r>
          </w:p>
        </w:tc>
      </w:tr>
      <w:tr w14:paraId="4D97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4F55B2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35E387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17F64E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477AFFE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茄果类蔬菜</w:t>
            </w:r>
          </w:p>
        </w:tc>
        <w:tc>
          <w:tcPr>
            <w:tcW w:w="461" w:type="pct"/>
            <w:noWrap w:val="0"/>
            <w:vAlign w:val="center"/>
          </w:tcPr>
          <w:p w14:paraId="6054632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茄子</w:t>
            </w:r>
          </w:p>
        </w:tc>
        <w:tc>
          <w:tcPr>
            <w:tcW w:w="1557" w:type="pct"/>
            <w:noWrap w:val="0"/>
            <w:vAlign w:val="center"/>
          </w:tcPr>
          <w:p w14:paraId="595BEC1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w:t>
            </w:r>
          </w:p>
        </w:tc>
        <w:tc>
          <w:tcPr>
            <w:tcW w:w="1438" w:type="pct"/>
            <w:noWrap w:val="0"/>
            <w:vAlign w:val="center"/>
          </w:tcPr>
          <w:p w14:paraId="73487FE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铅（以Pb计）、镉（以Cd计）、吡唑醚菌酯、毒死蜱、氟虫腈、甲氨基阿维菌素苯甲酸盐、甲胺磷、甲拌磷、克百威、噻虫嗪、霜霉威和霜霉威盐酸盐、水胺硫磷、氧乐果、乙酰甲胺磷</w:t>
            </w:r>
          </w:p>
        </w:tc>
      </w:tr>
      <w:tr w14:paraId="22E9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19D004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A15C95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95CE99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2921A6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F4D311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辣椒</w:t>
            </w:r>
          </w:p>
        </w:tc>
        <w:tc>
          <w:tcPr>
            <w:tcW w:w="1557" w:type="pct"/>
            <w:noWrap w:val="0"/>
            <w:vAlign w:val="center"/>
          </w:tcPr>
          <w:p w14:paraId="74DBA18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噻虫胺、毒死蜱、啶虫脒</w:t>
            </w:r>
          </w:p>
        </w:tc>
        <w:tc>
          <w:tcPr>
            <w:tcW w:w="1438" w:type="pct"/>
            <w:noWrap w:val="0"/>
            <w:vAlign w:val="center"/>
          </w:tcPr>
          <w:p w14:paraId="28607A3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呋虫胺、氟吡菌胺、甲氨基阿维菌素苯甲酸盐、倍硫磷、镉（以Cd计）、铅（以Pb计）、噻虫嗪、氯氟氰菊酯和高效氯氟氰菊酯、克百威、吡唑醚菌酯、氧乐果、铬（以Cr计）、敌敌畏、甲胺磷、乙酰甲胺磷、三唑磷、甲拌磷、联苯菊酯、水胺硫磷、乐果、吡虫啉、氟虫腈、杀扑磷、丙溴磷</w:t>
            </w:r>
          </w:p>
        </w:tc>
      </w:tr>
      <w:tr w14:paraId="5BFC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B944E6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B95D3F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6FC503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C25E25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45B164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甜椒</w:t>
            </w:r>
          </w:p>
        </w:tc>
        <w:tc>
          <w:tcPr>
            <w:tcW w:w="1557" w:type="pct"/>
            <w:noWrap w:val="0"/>
            <w:vAlign w:val="center"/>
          </w:tcPr>
          <w:p w14:paraId="73DF00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w:t>
            </w:r>
          </w:p>
        </w:tc>
        <w:tc>
          <w:tcPr>
            <w:tcW w:w="1438" w:type="pct"/>
            <w:noWrap w:val="0"/>
            <w:vAlign w:val="center"/>
          </w:tcPr>
          <w:p w14:paraId="1D7A5A4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吡虫啉、毒死蜱、克百威、噻虫嗪、倍硫磷、氧乐果、吡唑醚菌酯、镉（以Cd计）、阿维菌素</w:t>
            </w:r>
          </w:p>
        </w:tc>
      </w:tr>
      <w:tr w14:paraId="3B60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9B9D0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A5143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82F84F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78FF22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瓜类蔬菜</w:t>
            </w:r>
          </w:p>
        </w:tc>
        <w:tc>
          <w:tcPr>
            <w:tcW w:w="461" w:type="pct"/>
            <w:noWrap w:val="0"/>
            <w:vAlign w:val="center"/>
          </w:tcPr>
          <w:p w14:paraId="0A948DD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黄瓜</w:t>
            </w:r>
          </w:p>
        </w:tc>
        <w:tc>
          <w:tcPr>
            <w:tcW w:w="1557" w:type="pct"/>
            <w:noWrap w:val="0"/>
            <w:vAlign w:val="center"/>
          </w:tcPr>
          <w:p w14:paraId="4F9E83F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64BF10A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阿维菌素、哒螨灵、敌敌畏、毒死蜱、腐霉利、甲氨基阿维菌素苯甲酸盐、甲拌磷、克百威、乐果、噻虫嗪、氧乐果、乙螨唑、乙酰甲胺磷、异丙威</w:t>
            </w:r>
          </w:p>
        </w:tc>
      </w:tr>
      <w:tr w14:paraId="666CD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0F3438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496A36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A0C7ED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6D125AA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豆类蔬菜</w:t>
            </w:r>
          </w:p>
        </w:tc>
        <w:tc>
          <w:tcPr>
            <w:tcW w:w="461" w:type="pct"/>
            <w:noWrap w:val="0"/>
            <w:vAlign w:val="center"/>
          </w:tcPr>
          <w:p w14:paraId="2DC7CF1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豇豆</w:t>
            </w:r>
          </w:p>
        </w:tc>
        <w:tc>
          <w:tcPr>
            <w:tcW w:w="1557" w:type="pct"/>
            <w:noWrap w:val="0"/>
            <w:vAlign w:val="center"/>
          </w:tcPr>
          <w:p w14:paraId="3CAA847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噻虫胺、噻虫嗪、倍硫磷</w:t>
            </w:r>
          </w:p>
        </w:tc>
        <w:tc>
          <w:tcPr>
            <w:tcW w:w="1438" w:type="pct"/>
            <w:noWrap w:val="0"/>
            <w:vAlign w:val="center"/>
          </w:tcPr>
          <w:p w14:paraId="3095D46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啶虫脒、灭蝇胺、毒死蜱、氧乐果、乙酰甲胺磷、乐果、甲基异柳磷、甲氨基阿维菌素苯甲酸盐、克百威、氯氟氰菊酯和高效氯氟氰菊酯、氟虫腈、甲胺磷、阿维菌素、水胺硫磷、甲拌磷、三唑磷、氯氰菊酯和高效氯氰菊酯</w:t>
            </w:r>
          </w:p>
        </w:tc>
      </w:tr>
      <w:tr w14:paraId="7437B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095C87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A374FC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B7AF3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69CA23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AD92A5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菜豆</w:t>
            </w:r>
          </w:p>
        </w:tc>
        <w:tc>
          <w:tcPr>
            <w:tcW w:w="1557" w:type="pct"/>
            <w:noWrap w:val="0"/>
            <w:vAlign w:val="center"/>
          </w:tcPr>
          <w:p w14:paraId="560DFCA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w:t>
            </w:r>
          </w:p>
        </w:tc>
        <w:tc>
          <w:tcPr>
            <w:tcW w:w="1438" w:type="pct"/>
            <w:noWrap w:val="0"/>
            <w:vAlign w:val="center"/>
          </w:tcPr>
          <w:p w14:paraId="54C59C2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氧乐果、甲氨基阿维菌素苯甲酸盐、克百威、毒死蜱、甲胺磷、吡虫啉、氯氟氰菊酯和高效氯氟氰菊酯、多菌灵、水胺硫磷、灭蝇胺、倍硫磷、乙酰甲胺磷</w:t>
            </w:r>
          </w:p>
        </w:tc>
      </w:tr>
      <w:tr w14:paraId="6294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78325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225E35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904301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C327B2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5EA4009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食荚豌豆</w:t>
            </w:r>
          </w:p>
        </w:tc>
        <w:tc>
          <w:tcPr>
            <w:tcW w:w="1557" w:type="pct"/>
            <w:noWrap w:val="0"/>
            <w:vAlign w:val="center"/>
          </w:tcPr>
          <w:p w14:paraId="546A8F6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吡唑醚菌酯、烯酰吗啉、多菌灵、噻虫胺</w:t>
            </w:r>
          </w:p>
        </w:tc>
        <w:tc>
          <w:tcPr>
            <w:tcW w:w="1438" w:type="pct"/>
            <w:noWrap w:val="0"/>
            <w:vAlign w:val="center"/>
          </w:tcPr>
          <w:p w14:paraId="1FE6D9A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阿维菌素、灭蝇胺、氧乐果、毒死蜱、甲氨基阿维菌素苯甲酸盐、乙酰甲胺磷</w:t>
            </w:r>
          </w:p>
        </w:tc>
      </w:tr>
      <w:tr w14:paraId="3EA2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223DE2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E18C2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ED0EE3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5BE4C8A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pacing w:val="0"/>
                <w:kern w:val="0"/>
                <w:sz w:val="21"/>
                <w:szCs w:val="21"/>
                <w:u w:val="none"/>
                <w:lang w:val="en-US" w:eastAsia="zh-CN" w:bidi="ar"/>
              </w:rPr>
              <w:t>水生类蔬菜</w:t>
            </w:r>
          </w:p>
        </w:tc>
        <w:tc>
          <w:tcPr>
            <w:tcW w:w="461" w:type="pct"/>
            <w:noWrap w:val="0"/>
            <w:vAlign w:val="center"/>
          </w:tcPr>
          <w:p w14:paraId="585A74D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pacing w:val="0"/>
                <w:kern w:val="0"/>
                <w:sz w:val="21"/>
                <w:szCs w:val="21"/>
                <w:u w:val="none"/>
                <w:lang w:val="en-US" w:eastAsia="zh-CN" w:bidi="ar"/>
              </w:rPr>
              <w:t>荸荠</w:t>
            </w:r>
          </w:p>
        </w:tc>
        <w:tc>
          <w:tcPr>
            <w:tcW w:w="1557" w:type="pct"/>
            <w:noWrap w:val="0"/>
            <w:vAlign w:val="center"/>
          </w:tcPr>
          <w:p w14:paraId="079AEB7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427883A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铅（以Pb计）、镉（以Cd计）、</w:t>
            </w:r>
            <w:r>
              <w:rPr>
                <w:rFonts w:hint="eastAsia" w:ascii="宋体" w:hAnsi="宋体" w:eastAsia="宋体" w:cs="宋体"/>
                <w:spacing w:val="0"/>
                <w:kern w:val="0"/>
                <w:sz w:val="21"/>
                <w:szCs w:val="21"/>
                <w:lang w:bidi="ar"/>
              </w:rPr>
              <w:t>总汞（以Hg计）、总砷（以As计）、铬（以Cr计）</w:t>
            </w:r>
            <w:r>
              <w:rPr>
                <w:rFonts w:hint="eastAsia" w:ascii="宋体" w:hAnsi="宋体" w:eastAsia="宋体" w:cs="宋体"/>
                <w:spacing w:val="0"/>
                <w:sz w:val="21"/>
                <w:szCs w:val="21"/>
                <w:lang w:val="en-US" w:eastAsia="zh-CN"/>
              </w:rPr>
              <w:t>、丙环唑</w:t>
            </w:r>
          </w:p>
        </w:tc>
      </w:tr>
      <w:tr w14:paraId="501D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4DD681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0720E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CE273A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2C0A8F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B94B7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pacing w:val="0"/>
                <w:kern w:val="0"/>
                <w:sz w:val="21"/>
                <w:szCs w:val="21"/>
                <w:u w:val="none"/>
                <w:lang w:val="en-US" w:eastAsia="zh-CN" w:bidi="ar"/>
              </w:rPr>
              <w:t>慈姑</w:t>
            </w:r>
          </w:p>
        </w:tc>
        <w:tc>
          <w:tcPr>
            <w:tcW w:w="1557" w:type="pct"/>
            <w:noWrap w:val="0"/>
            <w:vAlign w:val="center"/>
          </w:tcPr>
          <w:p w14:paraId="401BB31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1FD7944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铅（以Pb计）、镉（以Cd计）、</w:t>
            </w:r>
            <w:r>
              <w:rPr>
                <w:rFonts w:hint="eastAsia" w:ascii="宋体" w:hAnsi="宋体" w:eastAsia="宋体" w:cs="宋体"/>
                <w:spacing w:val="0"/>
                <w:kern w:val="0"/>
                <w:sz w:val="21"/>
                <w:szCs w:val="21"/>
                <w:lang w:bidi="ar"/>
              </w:rPr>
              <w:t>总汞（以Hg计）、总砷（以As计）、铬（以Cr计）</w:t>
            </w:r>
            <w:r>
              <w:rPr>
                <w:rFonts w:hint="eastAsia" w:ascii="宋体" w:hAnsi="宋体" w:eastAsia="宋体" w:cs="宋体"/>
                <w:spacing w:val="0"/>
                <w:sz w:val="21"/>
                <w:szCs w:val="21"/>
                <w:lang w:val="en-US" w:eastAsia="zh-CN"/>
              </w:rPr>
              <w:t>、乐果、毒死蜱、敌敌畏、丙环唑</w:t>
            </w:r>
          </w:p>
        </w:tc>
      </w:tr>
      <w:tr w14:paraId="0489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72D8A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B2F03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FB9C3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23814CE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pacing w:val="0"/>
                <w:kern w:val="0"/>
                <w:sz w:val="21"/>
                <w:szCs w:val="21"/>
                <w:u w:val="none"/>
                <w:lang w:val="en-US" w:eastAsia="zh-CN" w:bidi="ar"/>
              </w:rPr>
              <w:t>其他类蔬菜</w:t>
            </w:r>
          </w:p>
        </w:tc>
        <w:tc>
          <w:tcPr>
            <w:tcW w:w="461" w:type="pct"/>
            <w:noWrap w:val="0"/>
            <w:vAlign w:val="center"/>
          </w:tcPr>
          <w:p w14:paraId="21A4EA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pacing w:val="0"/>
                <w:kern w:val="0"/>
                <w:sz w:val="21"/>
                <w:szCs w:val="21"/>
                <w:u w:val="none"/>
                <w:lang w:val="en-US" w:eastAsia="zh-CN" w:bidi="ar"/>
              </w:rPr>
              <w:t>芦蒿</w:t>
            </w:r>
          </w:p>
        </w:tc>
        <w:tc>
          <w:tcPr>
            <w:tcW w:w="1557" w:type="pct"/>
            <w:noWrap w:val="0"/>
            <w:vAlign w:val="center"/>
          </w:tcPr>
          <w:p w14:paraId="10A2172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kern w:val="0"/>
                <w:sz w:val="21"/>
                <w:szCs w:val="21"/>
                <w:lang w:bidi="ar"/>
              </w:rPr>
            </w:pPr>
          </w:p>
        </w:tc>
        <w:tc>
          <w:tcPr>
            <w:tcW w:w="1438" w:type="pct"/>
            <w:noWrap w:val="0"/>
            <w:vAlign w:val="center"/>
          </w:tcPr>
          <w:p w14:paraId="2CD2D78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kern w:val="0"/>
                <w:sz w:val="21"/>
                <w:szCs w:val="21"/>
                <w:lang w:bidi="ar"/>
              </w:rPr>
              <w:t>铅（以Pb计）、镉（以Cd计）、总汞（以Hg计）、总砷（以As计）、铬（以Cr计）</w:t>
            </w:r>
          </w:p>
        </w:tc>
      </w:tr>
      <w:tr w14:paraId="7502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8A050B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9A25AF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2D4035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49E8E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F7C31F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pacing w:val="0"/>
                <w:kern w:val="0"/>
                <w:sz w:val="21"/>
                <w:szCs w:val="21"/>
                <w:u w:val="none"/>
                <w:lang w:val="en-US" w:eastAsia="zh-CN" w:bidi="ar"/>
              </w:rPr>
              <w:t>竹笋</w:t>
            </w:r>
          </w:p>
        </w:tc>
        <w:tc>
          <w:tcPr>
            <w:tcW w:w="1557" w:type="pct"/>
            <w:noWrap w:val="0"/>
            <w:vAlign w:val="center"/>
          </w:tcPr>
          <w:p w14:paraId="096F768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64AB6F2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铅（以Pb计）、镉（以Cd计）、总汞（以Hg计）、总砷</w:t>
            </w:r>
            <w:r>
              <w:rPr>
                <w:rFonts w:hint="eastAsia" w:ascii="宋体" w:hAnsi="宋体" w:eastAsia="宋体" w:cs="宋体"/>
                <w:spacing w:val="0"/>
                <w:kern w:val="0"/>
                <w:sz w:val="21"/>
                <w:szCs w:val="21"/>
                <w:lang w:bidi="ar"/>
              </w:rPr>
              <w:t>（以As计）</w:t>
            </w:r>
            <w:r>
              <w:rPr>
                <w:rFonts w:hint="eastAsia" w:ascii="宋体" w:hAnsi="宋体" w:eastAsia="宋体" w:cs="宋体"/>
                <w:spacing w:val="0"/>
                <w:sz w:val="21"/>
                <w:szCs w:val="21"/>
                <w:lang w:val="en-US" w:eastAsia="zh-CN"/>
              </w:rPr>
              <w:t>、铬（以Cr计）</w:t>
            </w:r>
          </w:p>
        </w:tc>
      </w:tr>
      <w:tr w14:paraId="79365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48CB6D4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33</w:t>
            </w:r>
          </w:p>
        </w:tc>
        <w:tc>
          <w:tcPr>
            <w:tcW w:w="408" w:type="pct"/>
            <w:vMerge w:val="restart"/>
            <w:noWrap w:val="0"/>
            <w:vAlign w:val="center"/>
          </w:tcPr>
          <w:p w14:paraId="453C55A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蔬菜</w:t>
            </w:r>
          </w:p>
        </w:tc>
        <w:tc>
          <w:tcPr>
            <w:tcW w:w="423" w:type="pct"/>
            <w:vMerge w:val="restart"/>
            <w:noWrap w:val="0"/>
            <w:vAlign w:val="center"/>
          </w:tcPr>
          <w:p w14:paraId="6ED538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蔬菜</w:t>
            </w:r>
          </w:p>
        </w:tc>
        <w:tc>
          <w:tcPr>
            <w:tcW w:w="455" w:type="pct"/>
            <w:vMerge w:val="restart"/>
            <w:noWrap w:val="0"/>
            <w:vAlign w:val="center"/>
          </w:tcPr>
          <w:p w14:paraId="3323DEB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根茎类和薯芋类蔬菜</w:t>
            </w:r>
          </w:p>
        </w:tc>
        <w:tc>
          <w:tcPr>
            <w:tcW w:w="461" w:type="pct"/>
            <w:noWrap w:val="0"/>
            <w:vAlign w:val="center"/>
          </w:tcPr>
          <w:p w14:paraId="3758CF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马铃薯</w:t>
            </w:r>
          </w:p>
        </w:tc>
        <w:tc>
          <w:tcPr>
            <w:tcW w:w="1557" w:type="pct"/>
            <w:noWrap w:val="0"/>
            <w:vAlign w:val="center"/>
          </w:tcPr>
          <w:p w14:paraId="59EA145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486086D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铅（以Pb计）、镉（以Cd计）、毒死蜱、甲拌磷、氯氟氰菊酯和高效氯氟氰菊酯、氯氰菊酯和高效氯氰菊酯、噻虫嗪、杀扑磷、乙酰甲胺磷</w:t>
            </w:r>
          </w:p>
        </w:tc>
      </w:tr>
      <w:tr w14:paraId="5F382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D084E0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BE20D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879A14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26520E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11EA4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甘薯</w:t>
            </w:r>
          </w:p>
        </w:tc>
        <w:tc>
          <w:tcPr>
            <w:tcW w:w="1557" w:type="pct"/>
            <w:noWrap w:val="0"/>
            <w:vAlign w:val="center"/>
          </w:tcPr>
          <w:p w14:paraId="2455069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3F98C6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铅（以Pb计）、毒死蜱、氟虫腈、甲拌磷、氯氟氰菊酯和高效氯氟氰菊酯、氯氰菊酯和高效氯氰菊酯、噻虫嗪、杀扑磷</w:t>
            </w:r>
          </w:p>
        </w:tc>
      </w:tr>
      <w:tr w14:paraId="7D60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F92684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0DA01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7E1ECA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265FD5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4A4783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山药</w:t>
            </w:r>
          </w:p>
        </w:tc>
        <w:tc>
          <w:tcPr>
            <w:tcW w:w="1557" w:type="pct"/>
            <w:noWrap w:val="0"/>
            <w:vAlign w:val="center"/>
          </w:tcPr>
          <w:p w14:paraId="3A49EBB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咪鲜胺和咪鲜胺锰盐</w:t>
            </w:r>
          </w:p>
        </w:tc>
        <w:tc>
          <w:tcPr>
            <w:tcW w:w="1438" w:type="pct"/>
            <w:noWrap w:val="0"/>
            <w:vAlign w:val="center"/>
          </w:tcPr>
          <w:p w14:paraId="7F067FD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氯氟氰菊酯和高效氯氟氰菊酯、涕灭威、铅（以Pb计）、毒死蜱</w:t>
            </w:r>
          </w:p>
        </w:tc>
      </w:tr>
      <w:tr w14:paraId="6FD25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3DB3D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A6FFDE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4C25C8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82EED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7C3B01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胡萝卜</w:t>
            </w:r>
          </w:p>
        </w:tc>
        <w:tc>
          <w:tcPr>
            <w:tcW w:w="1557" w:type="pct"/>
            <w:noWrap w:val="0"/>
            <w:vAlign w:val="center"/>
          </w:tcPr>
          <w:p w14:paraId="760FD4B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噻虫胺、甲拌磷</w:t>
            </w:r>
          </w:p>
        </w:tc>
        <w:tc>
          <w:tcPr>
            <w:tcW w:w="1438" w:type="pct"/>
            <w:noWrap w:val="0"/>
            <w:vAlign w:val="center"/>
          </w:tcPr>
          <w:p w14:paraId="5CD2136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氟虫腈、氯氟氰菊酯和高效氯氟氰菊酯、铅（以Pb计）、毒死蜱</w:t>
            </w:r>
          </w:p>
        </w:tc>
      </w:tr>
      <w:tr w14:paraId="2D2D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44BA5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BF0051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59D649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448242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D71120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萝卜</w:t>
            </w:r>
          </w:p>
        </w:tc>
        <w:tc>
          <w:tcPr>
            <w:tcW w:w="1557" w:type="pct"/>
            <w:noWrap w:val="0"/>
            <w:vAlign w:val="center"/>
          </w:tcPr>
          <w:p w14:paraId="0A9C12C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C3B2DA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铅（以Pb计）、毒死蜱、甲胺磷、甲拌磷、氯氟氰菊酯和高效氯氟氰菊酯、噻虫嗪、氧乐果</w:t>
            </w:r>
          </w:p>
        </w:tc>
      </w:tr>
      <w:tr w14:paraId="06B5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90A389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8F431C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95FBA9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B0023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1200942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姜</w:t>
            </w:r>
          </w:p>
        </w:tc>
        <w:tc>
          <w:tcPr>
            <w:tcW w:w="1557" w:type="pct"/>
            <w:noWrap w:val="0"/>
            <w:vAlign w:val="center"/>
          </w:tcPr>
          <w:p w14:paraId="3812E8A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噻虫胺、噻虫嗪、毒死蜱、吡虫啉</w:t>
            </w:r>
          </w:p>
        </w:tc>
        <w:tc>
          <w:tcPr>
            <w:tcW w:w="1438" w:type="pct"/>
            <w:noWrap w:val="0"/>
            <w:vAlign w:val="center"/>
          </w:tcPr>
          <w:p w14:paraId="0D9A3F6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吡唑醚菌酯、甲胺磷、铅（以Pb计）、镉（以Cd计）、甲拌磷、氯氟氰菊酯和高效氯氟氰菊酯、六六六、氯氰菊酯和高效氯氰菊酯、氯唑磷、敌敌畏、二氧化硫残留量、克百威、咪鲜胺和咪鲜胺锰盐</w:t>
            </w:r>
          </w:p>
        </w:tc>
      </w:tr>
      <w:tr w14:paraId="6CFD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2F648B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408" w:type="pct"/>
            <w:vMerge w:val="restart"/>
            <w:noWrap w:val="0"/>
            <w:vAlign w:val="center"/>
          </w:tcPr>
          <w:p w14:paraId="3F2413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水产品</w:t>
            </w:r>
          </w:p>
        </w:tc>
        <w:tc>
          <w:tcPr>
            <w:tcW w:w="423" w:type="pct"/>
            <w:vMerge w:val="restart"/>
            <w:noWrap w:val="0"/>
            <w:vAlign w:val="center"/>
          </w:tcPr>
          <w:p w14:paraId="5E57C6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水产品</w:t>
            </w:r>
          </w:p>
        </w:tc>
        <w:tc>
          <w:tcPr>
            <w:tcW w:w="455" w:type="pct"/>
            <w:vMerge w:val="restart"/>
            <w:noWrap w:val="0"/>
            <w:vAlign w:val="center"/>
          </w:tcPr>
          <w:p w14:paraId="6ADDD6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淡水产品</w:t>
            </w:r>
          </w:p>
        </w:tc>
        <w:tc>
          <w:tcPr>
            <w:tcW w:w="461" w:type="pct"/>
            <w:noWrap w:val="0"/>
            <w:vAlign w:val="center"/>
          </w:tcPr>
          <w:p w14:paraId="06C0B4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淡水鱼</w:t>
            </w:r>
          </w:p>
        </w:tc>
        <w:tc>
          <w:tcPr>
            <w:tcW w:w="1557" w:type="pct"/>
            <w:noWrap w:val="0"/>
            <w:vAlign w:val="center"/>
          </w:tcPr>
          <w:p w14:paraId="4F55D49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恩诺沙星、孔雀石绿、磺胺类（总量）、地西泮、氧氟沙星</w:t>
            </w:r>
          </w:p>
        </w:tc>
        <w:tc>
          <w:tcPr>
            <w:tcW w:w="1438" w:type="pct"/>
            <w:noWrap w:val="0"/>
            <w:vAlign w:val="center"/>
          </w:tcPr>
          <w:p w14:paraId="65F454D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挥发性盐基氮、镉（以Cd计）、氯霉素、呋喃唑酮代谢物、呋喃西林代谢物、呋喃妥因代谢物、五氯酚酸钠、沙拉沙星、甲氧苄啶、氟苯尼考、甲硝唑、诺氟沙星、培氟沙星</w:t>
            </w:r>
          </w:p>
        </w:tc>
      </w:tr>
      <w:tr w14:paraId="21022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9434E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EB7D84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9B5897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DFF37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BC2966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淡水虾</w:t>
            </w:r>
          </w:p>
        </w:tc>
        <w:tc>
          <w:tcPr>
            <w:tcW w:w="1557" w:type="pct"/>
            <w:noWrap w:val="0"/>
            <w:vAlign w:val="center"/>
          </w:tcPr>
          <w:p w14:paraId="26965D9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恩诺沙星</w:t>
            </w:r>
          </w:p>
        </w:tc>
        <w:tc>
          <w:tcPr>
            <w:tcW w:w="1438" w:type="pct"/>
            <w:noWrap w:val="0"/>
            <w:vAlign w:val="center"/>
          </w:tcPr>
          <w:p w14:paraId="13C1D20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镉（以Cd计）、孔雀石绿、氯霉素、呋喃唑酮代谢物、呋喃妥因代谢物、五氯酚酸钠（以五氯酚计）、磺胺类（总量）、土霉素/金霉素/四环素（组合含量）、氧氟沙星、诺氟沙星</w:t>
            </w:r>
          </w:p>
        </w:tc>
      </w:tr>
      <w:tr w14:paraId="1856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A7DE4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FDAF67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B9FCCE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E35D6E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BB7487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淡水蟹</w:t>
            </w:r>
          </w:p>
        </w:tc>
        <w:tc>
          <w:tcPr>
            <w:tcW w:w="1557" w:type="pct"/>
            <w:noWrap w:val="0"/>
            <w:vAlign w:val="center"/>
          </w:tcPr>
          <w:p w14:paraId="18D373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7F7AB50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镉（以Cd计）、孔雀石绿、氯霉素、五氯酚酸钠（以五氯酚计）、呋喃唑酮代谢物</w:t>
            </w:r>
          </w:p>
        </w:tc>
      </w:tr>
      <w:tr w14:paraId="63B5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90D0F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1EA9B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C26778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73D3CA0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海水产品</w:t>
            </w:r>
          </w:p>
        </w:tc>
        <w:tc>
          <w:tcPr>
            <w:tcW w:w="461" w:type="pct"/>
            <w:noWrap w:val="0"/>
            <w:vAlign w:val="center"/>
          </w:tcPr>
          <w:p w14:paraId="166DE3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海水鱼</w:t>
            </w:r>
          </w:p>
        </w:tc>
        <w:tc>
          <w:tcPr>
            <w:tcW w:w="1557" w:type="pct"/>
            <w:noWrap w:val="0"/>
            <w:vAlign w:val="center"/>
          </w:tcPr>
          <w:p w14:paraId="582DF05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恩诺沙星</w:t>
            </w:r>
          </w:p>
        </w:tc>
        <w:tc>
          <w:tcPr>
            <w:tcW w:w="1438" w:type="pct"/>
            <w:noWrap w:val="0"/>
            <w:vAlign w:val="center"/>
          </w:tcPr>
          <w:p w14:paraId="1706ABF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挥发性盐基氮、组胺、镉（以Cd计）、孔雀石绿、氯霉素、呋喃唑酮代谢物、呋喃它酮代谢物、呋喃西林代谢物、五氯酚酸钠（以五氯酚计）、磺胺类（总量）、土霉素/金霉素/四环素（组合含量）、甲氧苄啶、甲硝唑、氧氟沙星、培氟沙星、诺氟沙星</w:t>
            </w:r>
          </w:p>
        </w:tc>
      </w:tr>
      <w:tr w14:paraId="023D6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602F5B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0B4BDE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BBF91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356AB0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3CD555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海水虾</w:t>
            </w:r>
          </w:p>
        </w:tc>
        <w:tc>
          <w:tcPr>
            <w:tcW w:w="1557" w:type="pct"/>
            <w:noWrap w:val="0"/>
            <w:vAlign w:val="center"/>
          </w:tcPr>
          <w:p w14:paraId="0736BE8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二氧化硫残留量、呋喃唑酮代谢物、恩诺沙星</w:t>
            </w:r>
          </w:p>
        </w:tc>
        <w:tc>
          <w:tcPr>
            <w:tcW w:w="1438" w:type="pct"/>
            <w:noWrap w:val="0"/>
            <w:vAlign w:val="center"/>
          </w:tcPr>
          <w:p w14:paraId="12B0BB6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挥发性盐基氮、镉（以Cd计）、孔雀石绿、氯霉素、呋喃它酮代谢物、呋喃妥因代谢物、五氯酚酸钠（以五氯酚计）、土霉素/金霉素/四环素（组合含量）、磺胺类（总量）、诺氟沙星</w:t>
            </w:r>
          </w:p>
        </w:tc>
      </w:tr>
      <w:tr w14:paraId="5197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F1076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9C9F83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E51B70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5E7A61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3D0F26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海水蟹</w:t>
            </w:r>
          </w:p>
        </w:tc>
        <w:tc>
          <w:tcPr>
            <w:tcW w:w="1557" w:type="pct"/>
            <w:noWrap w:val="0"/>
            <w:vAlign w:val="center"/>
          </w:tcPr>
          <w:p w14:paraId="0960AB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FE8398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镉（以Cd计）、二氧化硫残留量、氯霉素、呋喃妥因代谢物</w:t>
            </w:r>
          </w:p>
        </w:tc>
      </w:tr>
      <w:tr w14:paraId="7E95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2D859A5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78AE9C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A67A9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5D157C8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贝类</w:t>
            </w:r>
          </w:p>
        </w:tc>
        <w:tc>
          <w:tcPr>
            <w:tcW w:w="461" w:type="pct"/>
            <w:noWrap w:val="0"/>
            <w:vAlign w:val="center"/>
          </w:tcPr>
          <w:p w14:paraId="06B5664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贝类</w:t>
            </w:r>
          </w:p>
        </w:tc>
        <w:tc>
          <w:tcPr>
            <w:tcW w:w="1557" w:type="pct"/>
            <w:noWrap w:val="0"/>
            <w:vAlign w:val="center"/>
          </w:tcPr>
          <w:p w14:paraId="119A7FA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7DDB747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镉（以Cd计）、无机砷（以As计）、孔雀石绿、氯霉素、呋喃唑酮代谢物、呋喃西林代谢物、呋喃妥因代谢物、五氯酚酸钠（以五氯酚计）、恩诺沙星、氟苯尼考、磺胺类（总量）</w:t>
            </w:r>
          </w:p>
        </w:tc>
      </w:tr>
      <w:tr w14:paraId="1854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FFC50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AEE5F3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3D6452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noWrap w:val="0"/>
            <w:vAlign w:val="center"/>
          </w:tcPr>
          <w:p w14:paraId="3522DB5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其他水产品</w:t>
            </w:r>
          </w:p>
        </w:tc>
        <w:tc>
          <w:tcPr>
            <w:tcW w:w="461" w:type="pct"/>
            <w:noWrap w:val="0"/>
            <w:vAlign w:val="center"/>
          </w:tcPr>
          <w:p w14:paraId="4FB631A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其他水产品（重点品种：牛蛙）</w:t>
            </w:r>
          </w:p>
        </w:tc>
        <w:tc>
          <w:tcPr>
            <w:tcW w:w="1557" w:type="pct"/>
            <w:noWrap w:val="0"/>
            <w:vAlign w:val="center"/>
          </w:tcPr>
          <w:p w14:paraId="0550DB8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恩诺沙星</w:t>
            </w:r>
            <w:r>
              <w:rPr>
                <w:rFonts w:hint="eastAsia" w:ascii="宋体" w:hAnsi="宋体" w:eastAsia="宋体" w:cs="宋体"/>
                <w:i w:val="0"/>
                <w:iCs w:val="0"/>
                <w:color w:val="000000"/>
                <w:kern w:val="0"/>
                <w:sz w:val="21"/>
                <w:szCs w:val="21"/>
                <w:u w:val="none"/>
                <w:vertAlign w:val="superscript"/>
                <w:lang w:val="en-US" w:eastAsia="zh-CN" w:bidi="ar"/>
              </w:rPr>
              <w:t>a</w:t>
            </w:r>
            <w:r>
              <w:rPr>
                <w:rFonts w:hint="eastAsia" w:ascii="宋体" w:hAnsi="宋体" w:eastAsia="宋体" w:cs="宋体"/>
                <w:i w:val="0"/>
                <w:iCs w:val="0"/>
                <w:color w:val="000000"/>
                <w:kern w:val="0"/>
                <w:sz w:val="21"/>
                <w:szCs w:val="21"/>
                <w:u w:val="none"/>
                <w:lang w:val="en-US" w:eastAsia="zh-CN" w:bidi="ar"/>
              </w:rPr>
              <w:t>、呋喃唑酮代谢物、呋喃西林代谢物、氟苯尼考</w:t>
            </w:r>
            <w:r>
              <w:rPr>
                <w:rFonts w:hint="eastAsia" w:ascii="宋体" w:hAnsi="宋体" w:eastAsia="宋体" w:cs="宋体"/>
                <w:i w:val="0"/>
                <w:iCs w:val="0"/>
                <w:color w:val="000000"/>
                <w:kern w:val="0"/>
                <w:sz w:val="21"/>
                <w:szCs w:val="21"/>
                <w:u w:val="none"/>
                <w:vertAlign w:val="superscript"/>
                <w:lang w:val="en-US" w:eastAsia="zh-CN" w:bidi="ar"/>
              </w:rPr>
              <w:t>a</w:t>
            </w:r>
          </w:p>
        </w:tc>
        <w:tc>
          <w:tcPr>
            <w:tcW w:w="1438" w:type="pct"/>
            <w:noWrap w:val="0"/>
            <w:vAlign w:val="center"/>
          </w:tcPr>
          <w:p w14:paraId="084210D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镉（以Cd计）</w:t>
            </w:r>
            <w:r>
              <w:rPr>
                <w:rFonts w:hint="eastAsia" w:ascii="宋体" w:hAnsi="宋体" w:eastAsia="宋体" w:cs="宋体"/>
                <w:i w:val="0"/>
                <w:iCs w:val="0"/>
                <w:color w:val="000000"/>
                <w:kern w:val="0"/>
                <w:sz w:val="21"/>
                <w:szCs w:val="21"/>
                <w:u w:val="none"/>
                <w:vertAlign w:val="superscript"/>
                <w:lang w:val="en-US" w:eastAsia="zh-CN" w:bidi="ar"/>
              </w:rPr>
              <w:t>b</w:t>
            </w:r>
            <w:r>
              <w:rPr>
                <w:rFonts w:hint="eastAsia" w:ascii="宋体" w:hAnsi="宋体" w:eastAsia="宋体" w:cs="宋体"/>
                <w:i w:val="0"/>
                <w:iCs w:val="0"/>
                <w:color w:val="000000"/>
                <w:kern w:val="0"/>
                <w:sz w:val="21"/>
                <w:szCs w:val="21"/>
                <w:u w:val="none"/>
                <w:lang w:val="en-US" w:eastAsia="zh-CN" w:bidi="ar"/>
              </w:rPr>
              <w:t>、孔雀石绿、氯霉素、呋喃妥因代谢物、五氯酚酸钠（以五氯酚计）、磺胺类（总量）</w:t>
            </w:r>
            <w:r>
              <w:rPr>
                <w:rFonts w:hint="eastAsia" w:ascii="宋体" w:hAnsi="宋体" w:eastAsia="宋体" w:cs="宋体"/>
                <w:i w:val="0"/>
                <w:iCs w:val="0"/>
                <w:color w:val="000000"/>
                <w:kern w:val="0"/>
                <w:sz w:val="21"/>
                <w:szCs w:val="21"/>
                <w:u w:val="none"/>
                <w:vertAlign w:val="superscript"/>
                <w:lang w:val="en-US" w:eastAsia="zh-CN" w:bidi="ar"/>
              </w:rPr>
              <w:t>a</w:t>
            </w:r>
            <w:r>
              <w:rPr>
                <w:rFonts w:hint="eastAsia" w:ascii="宋体" w:hAnsi="宋体" w:eastAsia="宋体" w:cs="宋体"/>
                <w:i w:val="0"/>
                <w:iCs w:val="0"/>
                <w:color w:val="000000"/>
                <w:kern w:val="0"/>
                <w:sz w:val="21"/>
                <w:szCs w:val="21"/>
                <w:u w:val="none"/>
                <w:lang w:val="en-US" w:eastAsia="zh-CN" w:bidi="ar"/>
              </w:rPr>
              <w:t>、甲硝唑</w:t>
            </w:r>
            <w:r>
              <w:rPr>
                <w:rFonts w:hint="eastAsia" w:ascii="宋体" w:hAnsi="宋体" w:eastAsia="宋体" w:cs="宋体"/>
                <w:i w:val="0"/>
                <w:iCs w:val="0"/>
                <w:color w:val="000000"/>
                <w:kern w:val="0"/>
                <w:sz w:val="21"/>
                <w:szCs w:val="21"/>
                <w:u w:val="none"/>
                <w:vertAlign w:val="superscript"/>
                <w:lang w:val="en-US" w:eastAsia="zh-CN" w:bidi="ar"/>
              </w:rPr>
              <w:t>a</w:t>
            </w:r>
            <w:r>
              <w:rPr>
                <w:rFonts w:hint="eastAsia" w:ascii="宋体" w:hAnsi="宋体" w:eastAsia="宋体" w:cs="宋体"/>
                <w:i w:val="0"/>
                <w:iCs w:val="0"/>
                <w:color w:val="000000"/>
                <w:kern w:val="0"/>
                <w:sz w:val="21"/>
                <w:szCs w:val="21"/>
                <w:u w:val="none"/>
                <w:lang w:val="en-US" w:eastAsia="zh-CN" w:bidi="ar"/>
              </w:rPr>
              <w:t>、氧氟沙星</w:t>
            </w:r>
            <w:r>
              <w:rPr>
                <w:rFonts w:hint="eastAsia" w:ascii="宋体" w:hAnsi="宋体" w:eastAsia="宋体" w:cs="宋体"/>
                <w:i w:val="0"/>
                <w:iCs w:val="0"/>
                <w:color w:val="000000"/>
                <w:kern w:val="0"/>
                <w:sz w:val="21"/>
                <w:szCs w:val="21"/>
                <w:u w:val="none"/>
                <w:vertAlign w:val="superscript"/>
                <w:lang w:val="en-US" w:eastAsia="zh-CN" w:bidi="ar"/>
              </w:rPr>
              <w:t>a</w:t>
            </w:r>
            <w:r>
              <w:rPr>
                <w:rFonts w:hint="eastAsia" w:ascii="宋体" w:hAnsi="宋体" w:eastAsia="宋体" w:cs="宋体"/>
                <w:i w:val="0"/>
                <w:iCs w:val="0"/>
                <w:color w:val="000000"/>
                <w:kern w:val="0"/>
                <w:sz w:val="21"/>
                <w:szCs w:val="21"/>
                <w:u w:val="none"/>
                <w:lang w:val="en-US" w:eastAsia="zh-CN" w:bidi="ar"/>
              </w:rPr>
              <w:t>、诺氟沙星</w:t>
            </w:r>
            <w:r>
              <w:rPr>
                <w:rFonts w:hint="eastAsia" w:ascii="宋体" w:hAnsi="宋体" w:eastAsia="宋体" w:cs="宋体"/>
                <w:i w:val="0"/>
                <w:iCs w:val="0"/>
                <w:color w:val="000000"/>
                <w:kern w:val="0"/>
                <w:sz w:val="21"/>
                <w:szCs w:val="21"/>
                <w:u w:val="none"/>
                <w:vertAlign w:val="superscript"/>
                <w:lang w:val="en-US" w:eastAsia="zh-CN" w:bidi="ar"/>
              </w:rPr>
              <w:t>a</w:t>
            </w:r>
            <w:r>
              <w:rPr>
                <w:rFonts w:hint="eastAsia" w:ascii="宋体" w:hAnsi="宋体" w:eastAsia="宋体" w:cs="宋体"/>
                <w:i w:val="0"/>
                <w:iCs w:val="0"/>
                <w:color w:val="000000"/>
                <w:kern w:val="0"/>
                <w:sz w:val="21"/>
                <w:szCs w:val="21"/>
                <w:u w:val="none"/>
                <w:vertAlign w:val="baseline"/>
                <w:lang w:val="en-US" w:eastAsia="zh-CN" w:bidi="ar"/>
              </w:rPr>
              <w:t>（</w:t>
            </w:r>
            <w:r>
              <w:rPr>
                <w:rFonts w:hint="eastAsia" w:ascii="宋体" w:hAnsi="宋体" w:eastAsia="宋体" w:cs="宋体"/>
                <w:i w:val="0"/>
                <w:iCs w:val="0"/>
                <w:color w:val="000000"/>
                <w:kern w:val="0"/>
                <w:sz w:val="21"/>
                <w:szCs w:val="21"/>
                <w:u w:val="none"/>
                <w:lang w:val="en-US" w:eastAsia="zh-CN" w:bidi="ar"/>
              </w:rPr>
              <w:t>a.仅蛙科、鳖科食品动物检测、b.限头足类、腹足类、棘皮类检测。</w:t>
            </w:r>
            <w:r>
              <w:rPr>
                <w:rFonts w:hint="eastAsia" w:ascii="宋体" w:hAnsi="宋体" w:eastAsia="宋体" w:cs="宋体"/>
                <w:i w:val="0"/>
                <w:iCs w:val="0"/>
                <w:color w:val="000000"/>
                <w:kern w:val="0"/>
                <w:sz w:val="21"/>
                <w:szCs w:val="21"/>
                <w:u w:val="none"/>
                <w:vertAlign w:val="baseline"/>
                <w:lang w:val="en-US" w:eastAsia="zh-CN" w:bidi="ar"/>
              </w:rPr>
              <w:t>）</w:t>
            </w:r>
          </w:p>
        </w:tc>
      </w:tr>
      <w:tr w14:paraId="7CF7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3ADE0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408" w:type="pct"/>
            <w:vMerge w:val="restart"/>
            <w:noWrap w:val="0"/>
            <w:vAlign w:val="center"/>
          </w:tcPr>
          <w:p w14:paraId="686407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水果类</w:t>
            </w:r>
          </w:p>
        </w:tc>
        <w:tc>
          <w:tcPr>
            <w:tcW w:w="423" w:type="pct"/>
            <w:vMerge w:val="restart"/>
            <w:noWrap w:val="0"/>
            <w:vAlign w:val="center"/>
          </w:tcPr>
          <w:p w14:paraId="6E05F8D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水果类</w:t>
            </w:r>
          </w:p>
        </w:tc>
        <w:tc>
          <w:tcPr>
            <w:tcW w:w="455" w:type="pct"/>
            <w:vMerge w:val="restart"/>
            <w:noWrap w:val="0"/>
            <w:vAlign w:val="center"/>
          </w:tcPr>
          <w:p w14:paraId="1692F15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仁果类水果</w:t>
            </w:r>
          </w:p>
        </w:tc>
        <w:tc>
          <w:tcPr>
            <w:tcW w:w="461" w:type="pct"/>
            <w:noWrap w:val="0"/>
            <w:vAlign w:val="center"/>
          </w:tcPr>
          <w:p w14:paraId="7BBE87F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苹果</w:t>
            </w:r>
          </w:p>
        </w:tc>
        <w:tc>
          <w:tcPr>
            <w:tcW w:w="1557" w:type="pct"/>
            <w:noWrap w:val="0"/>
            <w:vAlign w:val="center"/>
          </w:tcPr>
          <w:p w14:paraId="1F7A442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642145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敌敌畏、啶虫脒、毒死蜱、甲拌磷、克百威、氧乐果、三氯杀螨醇</w:t>
            </w:r>
          </w:p>
        </w:tc>
      </w:tr>
      <w:tr w14:paraId="6271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095215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98915B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3127F9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5E41C4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3F093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梨</w:t>
            </w:r>
          </w:p>
        </w:tc>
        <w:tc>
          <w:tcPr>
            <w:tcW w:w="1557" w:type="pct"/>
            <w:noWrap w:val="0"/>
            <w:vAlign w:val="center"/>
          </w:tcPr>
          <w:p w14:paraId="6E59C88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苯醚甲环唑、乙螨唑</w:t>
            </w:r>
          </w:p>
        </w:tc>
        <w:tc>
          <w:tcPr>
            <w:tcW w:w="1438" w:type="pct"/>
            <w:noWrap w:val="0"/>
            <w:vAlign w:val="center"/>
          </w:tcPr>
          <w:p w14:paraId="73FE9D9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吡虫啉、敌敌畏、毒死蜱、多菌灵、克百威、氯氟氰菊酯和高效氯氟氰菊酯、氧乐果、水胺硫磷、咪鲜胺和咪鲜胺锰盐、噻虫嗪、乙酰甲胺磷</w:t>
            </w:r>
          </w:p>
        </w:tc>
      </w:tr>
      <w:tr w14:paraId="0A1D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739833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132AC2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9799B7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49A7ED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1541DA8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highlight w:val="none"/>
                <w:lang w:eastAsia="zh-CN"/>
              </w:rPr>
              <w:t>枇杷</w:t>
            </w:r>
          </w:p>
        </w:tc>
        <w:tc>
          <w:tcPr>
            <w:tcW w:w="1557" w:type="pct"/>
            <w:noWrap w:val="0"/>
            <w:vAlign w:val="center"/>
          </w:tcPr>
          <w:p w14:paraId="3F0A21F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49EB642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苯醚甲环唑、多菌灵、嘧菌酯、肟菌酯、氯氟氰菊酯和高效氯氟氰菊酯、乐果、敌敌畏、敌百虫、唑螨酯、啶虫脒、抗蚜威、氯氰菊酯和高效氯氰菊酯、氰戊菊酯和S-氰戊菊酯</w:t>
            </w:r>
          </w:p>
        </w:tc>
      </w:tr>
      <w:tr w14:paraId="5F1A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D491FB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202379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63E0B7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restart"/>
            <w:noWrap w:val="0"/>
            <w:vAlign w:val="center"/>
          </w:tcPr>
          <w:p w14:paraId="5D9D7C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核果类水果</w:t>
            </w:r>
          </w:p>
        </w:tc>
        <w:tc>
          <w:tcPr>
            <w:tcW w:w="461" w:type="pct"/>
            <w:noWrap w:val="0"/>
            <w:vAlign w:val="center"/>
          </w:tcPr>
          <w:p w14:paraId="20D8DC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枣</w:t>
            </w:r>
          </w:p>
        </w:tc>
        <w:tc>
          <w:tcPr>
            <w:tcW w:w="1557" w:type="pct"/>
            <w:noWrap w:val="0"/>
            <w:vAlign w:val="center"/>
          </w:tcPr>
          <w:p w14:paraId="6F3DFC8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7DCADE8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多菌灵、氟虫腈、氰戊菊酯和S-氰戊菊酯、氧乐果、糖精钠（以糖精计）</w:t>
            </w:r>
          </w:p>
        </w:tc>
      </w:tr>
      <w:tr w14:paraId="04E5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994FED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9D238B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796F57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623D57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400571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桃</w:t>
            </w:r>
          </w:p>
        </w:tc>
        <w:tc>
          <w:tcPr>
            <w:tcW w:w="1557" w:type="pct"/>
            <w:noWrap w:val="0"/>
            <w:vAlign w:val="center"/>
          </w:tcPr>
          <w:p w14:paraId="21AA055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AA055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苯醚甲环唑、敌敌畏、多菌灵、氟硅唑、甲胺磷、克百威、氧乐果、溴氰菊酯、吡虫啉、氯氟氰菊酯和高效氯氟氰菊酯、噻虫胺</w:t>
            </w:r>
          </w:p>
        </w:tc>
      </w:tr>
      <w:tr w14:paraId="282F0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3DA18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B40D8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7B0C85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CB4A3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4EADDD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油桃</w:t>
            </w:r>
          </w:p>
        </w:tc>
        <w:tc>
          <w:tcPr>
            <w:tcW w:w="1557" w:type="pct"/>
            <w:noWrap w:val="0"/>
            <w:vAlign w:val="center"/>
          </w:tcPr>
          <w:p w14:paraId="24BDE3C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8B95A2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甲胺磷、克百威、氧乐果、敌敌畏、苯醚甲环唑、噻虫胺</w:t>
            </w:r>
          </w:p>
        </w:tc>
      </w:tr>
      <w:tr w14:paraId="016B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38C5B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F59975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449380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33FCF5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461" w:type="pct"/>
            <w:noWrap w:val="0"/>
            <w:vAlign w:val="center"/>
          </w:tcPr>
          <w:p w14:paraId="1CBC6E7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highlight w:val="none"/>
                <w:lang w:eastAsia="zh-CN"/>
              </w:rPr>
              <w:t>李子</w:t>
            </w:r>
          </w:p>
        </w:tc>
        <w:tc>
          <w:tcPr>
            <w:tcW w:w="1557" w:type="pct"/>
            <w:noWrap w:val="0"/>
            <w:vAlign w:val="center"/>
          </w:tcPr>
          <w:p w14:paraId="75C5003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346741B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乐果、毒死蜱、溴氰菊酯、氰戊菊酯和S-氰戊菊酯、敌敌畏、氯氰菊酯和高效氯氰菊酯、苯醚甲环唑、氯氟氰菊酯和高效氯氟氰菊酯、多菌灵</w:t>
            </w:r>
          </w:p>
        </w:tc>
      </w:tr>
      <w:tr w14:paraId="52F9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4D7AC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87C13A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E0B159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D4F112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kern w:val="0"/>
                <w:sz w:val="21"/>
                <w:szCs w:val="21"/>
                <w:u w:val="none"/>
                <w:lang w:val="en-US" w:eastAsia="zh-CN" w:bidi="ar"/>
              </w:rPr>
            </w:pPr>
          </w:p>
        </w:tc>
        <w:tc>
          <w:tcPr>
            <w:tcW w:w="461" w:type="pct"/>
            <w:noWrap w:val="0"/>
            <w:vAlign w:val="center"/>
          </w:tcPr>
          <w:p w14:paraId="37AB480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highlight w:val="none"/>
                <w:lang w:eastAsia="zh-CN"/>
              </w:rPr>
              <w:t>杏</w:t>
            </w:r>
          </w:p>
        </w:tc>
        <w:tc>
          <w:tcPr>
            <w:tcW w:w="1557" w:type="pct"/>
            <w:noWrap w:val="0"/>
            <w:vAlign w:val="center"/>
          </w:tcPr>
          <w:p w14:paraId="29440C8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01DD2F5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乐果、毒死蜱、溴氰菊酯、氰戊菊酯和S-氰戊菊酯、敌敌畏、氯氰菊酯和高效氯氰菊酯、苯醚甲环唑、氯氟氰菊酯和高效氯氟氰菊酯、多菌灵</w:t>
            </w:r>
          </w:p>
        </w:tc>
      </w:tr>
      <w:tr w14:paraId="58C44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A9EDE1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670F8E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9C15F1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700DB9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柑橘类水果</w:t>
            </w:r>
          </w:p>
        </w:tc>
        <w:tc>
          <w:tcPr>
            <w:tcW w:w="461" w:type="pct"/>
            <w:noWrap w:val="0"/>
            <w:vAlign w:val="center"/>
          </w:tcPr>
          <w:p w14:paraId="069EDEC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柑、橘</w:t>
            </w:r>
          </w:p>
        </w:tc>
        <w:tc>
          <w:tcPr>
            <w:tcW w:w="1557" w:type="pct"/>
            <w:noWrap w:val="0"/>
            <w:vAlign w:val="center"/>
          </w:tcPr>
          <w:p w14:paraId="675B977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苯醚甲环唑、联苯菊酯</w:t>
            </w:r>
          </w:p>
        </w:tc>
        <w:tc>
          <w:tcPr>
            <w:tcW w:w="1438" w:type="pct"/>
            <w:noWrap w:val="0"/>
            <w:vAlign w:val="center"/>
          </w:tcPr>
          <w:p w14:paraId="59956E8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丙溴磷、克百威、氯唑磷、三唑磷、水胺硫磷、氧乐果、氯氟氰菊酯和高效氯氟氰菊酯、甲拌磷、2,4-滴和2,4-滴钠盐、狄氏剂、毒死蜱、杀扑磷、敌敌畏、联苯肼酯</w:t>
            </w:r>
          </w:p>
        </w:tc>
      </w:tr>
      <w:tr w14:paraId="2078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2441D9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9BEA6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019926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BEB231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AA99E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柚</w:t>
            </w:r>
          </w:p>
        </w:tc>
        <w:tc>
          <w:tcPr>
            <w:tcW w:w="1557" w:type="pct"/>
            <w:noWrap w:val="0"/>
            <w:vAlign w:val="center"/>
          </w:tcPr>
          <w:p w14:paraId="70BA8BD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99D5CB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水胺硫磷、联苯菊酯、氯氟氰菊酯和高效氯氟氰菊酯、氯唑磷、多菌灵、克百威</w:t>
            </w:r>
          </w:p>
        </w:tc>
      </w:tr>
      <w:tr w14:paraId="3F03B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7F1B92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6E74E6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DCBBD5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BC74FB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B05E9B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柠檬</w:t>
            </w:r>
          </w:p>
        </w:tc>
        <w:tc>
          <w:tcPr>
            <w:tcW w:w="1557" w:type="pct"/>
            <w:noWrap w:val="0"/>
            <w:vAlign w:val="center"/>
          </w:tcPr>
          <w:p w14:paraId="77FCBF8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2CCCB3C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多菌灵、克百威、联苯菊酯、水胺硫磷、乙螨唑、氯唑磷、毒死蜱</w:t>
            </w:r>
          </w:p>
        </w:tc>
      </w:tr>
      <w:tr w14:paraId="2280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74E3AC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A29E6B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513C6E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B893DE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A0B1F7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橙</w:t>
            </w:r>
          </w:p>
        </w:tc>
        <w:tc>
          <w:tcPr>
            <w:tcW w:w="1557" w:type="pct"/>
            <w:noWrap w:val="0"/>
            <w:vAlign w:val="center"/>
          </w:tcPr>
          <w:p w14:paraId="05FDFC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联苯菊酯、氯唑磷</w:t>
            </w:r>
          </w:p>
        </w:tc>
        <w:tc>
          <w:tcPr>
            <w:tcW w:w="1438" w:type="pct"/>
            <w:noWrap w:val="0"/>
            <w:vAlign w:val="center"/>
          </w:tcPr>
          <w:p w14:paraId="7D2F7DA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丙溴磷、克百威、三唑磷、杀扑磷、水胺硫磷、氧乐果、2,4-滴和2,4-滴钠盐、苯醚甲环唑、敌敌畏、氯氟氰菊酯和高效氯氟氰菊酯、乙酰甲胺磷</w:t>
            </w:r>
          </w:p>
        </w:tc>
      </w:tr>
      <w:tr w14:paraId="42F60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571CAF1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606627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700A7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6B3460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浆果和其他小型水果</w:t>
            </w:r>
          </w:p>
        </w:tc>
        <w:tc>
          <w:tcPr>
            <w:tcW w:w="461" w:type="pct"/>
            <w:noWrap w:val="0"/>
            <w:vAlign w:val="center"/>
          </w:tcPr>
          <w:p w14:paraId="0FFA38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葡萄</w:t>
            </w:r>
          </w:p>
        </w:tc>
        <w:tc>
          <w:tcPr>
            <w:tcW w:w="1557" w:type="pct"/>
            <w:noWrap w:val="0"/>
            <w:vAlign w:val="center"/>
          </w:tcPr>
          <w:p w14:paraId="61CD775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072F59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苯醚甲环唑、己唑醇、克百威、氯氰菊酯和高效氯氰菊酯、霜霉威和霜霉威盐酸盐、氧乐果、氯氟氰菊酯和高效氯氟氰菊酯、氟虫腈、氯吡脲、联苯菊酯、氟唑菌酰胺、戊唑醇、腈苯唑</w:t>
            </w:r>
          </w:p>
        </w:tc>
      </w:tr>
      <w:tr w14:paraId="64CA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E37AE0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E29B2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475C3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22C9DB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35BDB6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草莓</w:t>
            </w:r>
          </w:p>
        </w:tc>
        <w:tc>
          <w:tcPr>
            <w:tcW w:w="1557" w:type="pct"/>
            <w:noWrap w:val="0"/>
            <w:vAlign w:val="center"/>
          </w:tcPr>
          <w:p w14:paraId="78FEE88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6868507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阿维菌素、敌敌畏、多菌灵、克百威、烯酰吗啉、氧乐果、戊菌唑、吡虫啉、乙酰甲胺磷</w:t>
            </w:r>
          </w:p>
        </w:tc>
      </w:tr>
      <w:tr w14:paraId="3346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7A0012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AC55EB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BC7D40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DA5D0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033485B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猕猴桃</w:t>
            </w:r>
          </w:p>
        </w:tc>
        <w:tc>
          <w:tcPr>
            <w:tcW w:w="1557" w:type="pct"/>
            <w:noWrap w:val="0"/>
            <w:vAlign w:val="center"/>
          </w:tcPr>
          <w:p w14:paraId="284775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5F69ADC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敌敌畏、多菌灵、氯吡脲、氧乐果</w:t>
            </w:r>
          </w:p>
        </w:tc>
      </w:tr>
      <w:tr w14:paraId="2174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3A0D34B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35</w:t>
            </w:r>
          </w:p>
        </w:tc>
        <w:tc>
          <w:tcPr>
            <w:tcW w:w="408" w:type="pct"/>
            <w:vMerge w:val="restart"/>
            <w:noWrap w:val="0"/>
            <w:vAlign w:val="center"/>
          </w:tcPr>
          <w:p w14:paraId="76D058A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水果类</w:t>
            </w:r>
          </w:p>
        </w:tc>
        <w:tc>
          <w:tcPr>
            <w:tcW w:w="423" w:type="pct"/>
            <w:vMerge w:val="restart"/>
            <w:noWrap w:val="0"/>
            <w:vAlign w:val="center"/>
          </w:tcPr>
          <w:p w14:paraId="3C3F01F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水果类</w:t>
            </w:r>
          </w:p>
        </w:tc>
        <w:tc>
          <w:tcPr>
            <w:tcW w:w="455" w:type="pct"/>
            <w:vMerge w:val="restart"/>
            <w:noWrap w:val="0"/>
            <w:vAlign w:val="center"/>
          </w:tcPr>
          <w:p w14:paraId="403386C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浆果和其他小型水果</w:t>
            </w:r>
          </w:p>
        </w:tc>
        <w:tc>
          <w:tcPr>
            <w:tcW w:w="461" w:type="pct"/>
            <w:noWrap w:val="0"/>
            <w:vAlign w:val="center"/>
          </w:tcPr>
          <w:p w14:paraId="501168B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桑葚</w:t>
            </w:r>
          </w:p>
        </w:tc>
        <w:tc>
          <w:tcPr>
            <w:tcW w:w="1557" w:type="pct"/>
            <w:noWrap w:val="0"/>
            <w:vAlign w:val="center"/>
          </w:tcPr>
          <w:p w14:paraId="367D91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脱氢乙酸及其钠盐（以脱氢乙酸计）、糖精钠（以糖精计）</w:t>
            </w:r>
          </w:p>
        </w:tc>
        <w:tc>
          <w:tcPr>
            <w:tcW w:w="1438" w:type="pct"/>
            <w:noWrap w:val="0"/>
            <w:vAlign w:val="center"/>
          </w:tcPr>
          <w:p w14:paraId="4507627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苯甲酸及其钠盐（以苯甲酸计）、山梨酸及其钾盐（以山梨酸计）、三氯蔗糖、甜蜜素（以环己基氨基磺酸计）、多菌灵</w:t>
            </w:r>
          </w:p>
        </w:tc>
      </w:tr>
      <w:tr w14:paraId="13405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D2CA57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0B9900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571823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6BAADD4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04FC12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pacing w:val="0"/>
                <w:kern w:val="0"/>
                <w:sz w:val="21"/>
                <w:szCs w:val="21"/>
                <w:u w:val="none"/>
                <w:lang w:val="en-US" w:eastAsia="zh-CN" w:bidi="ar"/>
              </w:rPr>
              <w:t>蓝莓</w:t>
            </w:r>
          </w:p>
        </w:tc>
        <w:tc>
          <w:tcPr>
            <w:tcW w:w="1557" w:type="pct"/>
            <w:noWrap w:val="0"/>
            <w:vAlign w:val="center"/>
          </w:tcPr>
          <w:p w14:paraId="5C7E94C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sz w:val="21"/>
                <w:szCs w:val="21"/>
                <w:lang w:val="en-US" w:eastAsia="zh-CN"/>
              </w:rPr>
            </w:pPr>
          </w:p>
        </w:tc>
        <w:tc>
          <w:tcPr>
            <w:tcW w:w="1438" w:type="pct"/>
            <w:noWrap w:val="0"/>
            <w:vAlign w:val="center"/>
          </w:tcPr>
          <w:p w14:paraId="2646B67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sz w:val="21"/>
                <w:szCs w:val="21"/>
                <w:lang w:val="en-US" w:eastAsia="zh-CN"/>
              </w:rPr>
              <w:t>多菌灵、嘧霉胺、吡唑醚菌酯、吡虫啉、啶虫脒</w:t>
            </w:r>
          </w:p>
        </w:tc>
      </w:tr>
      <w:tr w14:paraId="21EF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1D328B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CDBF4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4EA12D5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71984DC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热带和亚热带水果</w:t>
            </w:r>
          </w:p>
        </w:tc>
        <w:tc>
          <w:tcPr>
            <w:tcW w:w="461" w:type="pct"/>
            <w:noWrap w:val="0"/>
            <w:vAlign w:val="center"/>
          </w:tcPr>
          <w:p w14:paraId="473C52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香蕉</w:t>
            </w:r>
          </w:p>
        </w:tc>
        <w:tc>
          <w:tcPr>
            <w:tcW w:w="1557" w:type="pct"/>
            <w:noWrap w:val="0"/>
            <w:vAlign w:val="center"/>
          </w:tcPr>
          <w:p w14:paraId="3BB1EBD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吡虫啉、噻虫胺、噻虫嗪</w:t>
            </w:r>
          </w:p>
        </w:tc>
        <w:tc>
          <w:tcPr>
            <w:tcW w:w="1438" w:type="pct"/>
            <w:noWrap w:val="0"/>
            <w:vAlign w:val="center"/>
          </w:tcPr>
          <w:p w14:paraId="3E54BF2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苯醚甲环唑、吡唑醚菌酯、多菌灵、氟虫腈、甲拌磷、腈苯唑、联苯菊酯、烯唑醇、百菌清、噻唑膦、氟唑菌酰胺</w:t>
            </w:r>
          </w:p>
        </w:tc>
      </w:tr>
      <w:tr w14:paraId="16831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8DFEFA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54BF1D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0D7B28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763C57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p>
        </w:tc>
        <w:tc>
          <w:tcPr>
            <w:tcW w:w="461" w:type="pct"/>
            <w:noWrap w:val="0"/>
            <w:vAlign w:val="center"/>
          </w:tcPr>
          <w:p w14:paraId="23ADD07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芒果</w:t>
            </w:r>
          </w:p>
        </w:tc>
        <w:tc>
          <w:tcPr>
            <w:tcW w:w="1557" w:type="pct"/>
            <w:noWrap w:val="0"/>
            <w:vAlign w:val="center"/>
          </w:tcPr>
          <w:p w14:paraId="21C070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吡唑醚菌酯、噻虫胺、戊唑醇</w:t>
            </w:r>
          </w:p>
        </w:tc>
        <w:tc>
          <w:tcPr>
            <w:tcW w:w="1438" w:type="pct"/>
            <w:noWrap w:val="0"/>
            <w:vAlign w:val="center"/>
          </w:tcPr>
          <w:p w14:paraId="744AC3A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苯醚甲环唑、氧乐果、乙酰甲胺磷、吡虫啉、噻虫嗪、噻嗪酮</w:t>
            </w:r>
          </w:p>
        </w:tc>
      </w:tr>
      <w:tr w14:paraId="31CA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1B18ABF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DE42C8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96967D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529867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E3183E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火龙果</w:t>
            </w:r>
          </w:p>
        </w:tc>
        <w:tc>
          <w:tcPr>
            <w:tcW w:w="1557" w:type="pct"/>
            <w:noWrap w:val="0"/>
            <w:vAlign w:val="center"/>
          </w:tcPr>
          <w:p w14:paraId="62331A1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4CD7222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氟虫腈、甲胺磷、克百威、氧乐果、乙酰甲胺磷、噻虫嗪</w:t>
            </w:r>
          </w:p>
        </w:tc>
      </w:tr>
      <w:tr w14:paraId="0D07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C1B006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3FEBB8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738542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A2D265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169558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荔枝</w:t>
            </w:r>
          </w:p>
        </w:tc>
        <w:tc>
          <w:tcPr>
            <w:tcW w:w="1557" w:type="pct"/>
            <w:noWrap w:val="0"/>
            <w:vAlign w:val="center"/>
          </w:tcPr>
          <w:p w14:paraId="516EC55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氯氟氰菊酯和高效氯氟氰菊酯、吡唑醚菌酯、除虫脲</w:t>
            </w:r>
          </w:p>
        </w:tc>
        <w:tc>
          <w:tcPr>
            <w:tcW w:w="1438" w:type="pct"/>
            <w:noWrap w:val="0"/>
            <w:vAlign w:val="center"/>
          </w:tcPr>
          <w:p w14:paraId="4070A13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多菌灵、氧乐果、毒死蜱、苯醚甲环唑、氯氰菊酯和高效氯氰菊酯、氰霜唑、氟吗啉、咪鲜胺和咪鲜胺锰盐、乐果</w:t>
            </w:r>
          </w:p>
        </w:tc>
      </w:tr>
      <w:tr w14:paraId="75D5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0095882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76DA54F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11EB112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C0C14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F0DEAF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杨梅</w:t>
            </w:r>
          </w:p>
        </w:tc>
        <w:tc>
          <w:tcPr>
            <w:tcW w:w="1557" w:type="pct"/>
            <w:noWrap w:val="0"/>
            <w:vAlign w:val="center"/>
          </w:tcPr>
          <w:p w14:paraId="59EF533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脱氢乙酸及其钠盐（以脱氢乙酸计）、糖精钠（以糖精计）、甜蜜素（以环己基氨基磺酸计）</w:t>
            </w:r>
          </w:p>
        </w:tc>
        <w:tc>
          <w:tcPr>
            <w:tcW w:w="1438" w:type="pct"/>
            <w:noWrap w:val="0"/>
            <w:vAlign w:val="center"/>
          </w:tcPr>
          <w:p w14:paraId="22597FD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苯甲酸及其钠盐（以苯甲酸计）、山梨酸及其钾盐（以山梨酸计）、三氯蔗糖、敌敌畏、氧乐果、啶虫脒</w:t>
            </w:r>
          </w:p>
        </w:tc>
      </w:tr>
      <w:tr w14:paraId="7EF4F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1BD252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16114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C2021E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2F6D446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3665E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龙眼</w:t>
            </w:r>
          </w:p>
        </w:tc>
        <w:tc>
          <w:tcPr>
            <w:tcW w:w="1557" w:type="pct"/>
            <w:noWrap w:val="0"/>
            <w:vAlign w:val="center"/>
          </w:tcPr>
          <w:p w14:paraId="39ED791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二氧化硫残留量</w:t>
            </w:r>
          </w:p>
        </w:tc>
        <w:tc>
          <w:tcPr>
            <w:tcW w:w="1438" w:type="pct"/>
            <w:noWrap w:val="0"/>
            <w:vAlign w:val="center"/>
          </w:tcPr>
          <w:p w14:paraId="69D530A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克百威、氯氰菊酯和高效氯氰菊酯、氧乐果</w:t>
            </w:r>
          </w:p>
        </w:tc>
      </w:tr>
      <w:tr w14:paraId="4170D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6EADA2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264294B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C5A3F1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77C79D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6E5695F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橄榄</w:t>
            </w:r>
          </w:p>
        </w:tc>
        <w:tc>
          <w:tcPr>
            <w:tcW w:w="1557" w:type="pct"/>
            <w:noWrap w:val="0"/>
            <w:vAlign w:val="center"/>
          </w:tcPr>
          <w:p w14:paraId="5C59AA6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57B66F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三氯蔗糖、糖精钠（以糖精计）、甜蜜素（以环己基氨基磺酸计）、多菌灵、甲胺磷、戊唑醇、乙酰甲胺磷</w:t>
            </w:r>
          </w:p>
        </w:tc>
      </w:tr>
      <w:tr w14:paraId="2FD0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7E65F1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4C1853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93CFEB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4DC510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5AABA5B9">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kern w:val="0"/>
                <w:sz w:val="21"/>
                <w:szCs w:val="21"/>
                <w:lang w:bidi="ar"/>
              </w:rPr>
              <w:t>菠萝（去皮鲜食菠萝、去皮小菠萝）</w:t>
            </w:r>
          </w:p>
        </w:tc>
        <w:tc>
          <w:tcPr>
            <w:tcW w:w="1557" w:type="pct"/>
            <w:noWrap w:val="0"/>
            <w:vAlign w:val="center"/>
          </w:tcPr>
          <w:p w14:paraId="74E7EBBF">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spacing w:val="0"/>
                <w:kern w:val="0"/>
                <w:sz w:val="21"/>
                <w:szCs w:val="21"/>
                <w:lang w:bidi="ar"/>
              </w:rPr>
            </w:pPr>
          </w:p>
        </w:tc>
        <w:tc>
          <w:tcPr>
            <w:tcW w:w="1438" w:type="pct"/>
            <w:noWrap w:val="0"/>
            <w:vAlign w:val="center"/>
          </w:tcPr>
          <w:p w14:paraId="05107240">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pacing w:val="0"/>
                <w:kern w:val="0"/>
                <w:sz w:val="21"/>
                <w:szCs w:val="21"/>
                <w:lang w:bidi="ar"/>
              </w:rPr>
              <w:t>糖精钠（以糖精计）、脱氢乙酸及其钠盐（以脱氢乙酸计）、三氯蔗糖</w:t>
            </w:r>
            <w:r>
              <w:rPr>
                <w:rFonts w:hint="eastAsia" w:ascii="宋体" w:hAnsi="宋体" w:eastAsia="宋体" w:cs="宋体"/>
                <w:spacing w:val="0"/>
                <w:kern w:val="0"/>
                <w:sz w:val="21"/>
                <w:szCs w:val="21"/>
                <w:lang w:eastAsia="zh-CN" w:bidi="ar"/>
              </w:rPr>
              <w:t>、合成着色剂（柠檬黄）、</w:t>
            </w:r>
            <w:r>
              <w:rPr>
                <w:rFonts w:hint="eastAsia" w:ascii="宋体" w:hAnsi="宋体" w:eastAsia="宋体" w:cs="宋体"/>
                <w:spacing w:val="0"/>
                <w:kern w:val="0"/>
                <w:sz w:val="21"/>
                <w:szCs w:val="21"/>
                <w:lang w:val="en-US" w:eastAsia="zh-CN" w:bidi="ar"/>
              </w:rPr>
              <w:t>甜蜜素（</w:t>
            </w:r>
            <w:r>
              <w:rPr>
                <w:rFonts w:hint="eastAsia" w:ascii="宋体" w:hAnsi="宋体" w:eastAsia="宋体" w:cs="宋体"/>
                <w:spacing w:val="0"/>
                <w:kern w:val="0"/>
                <w:sz w:val="21"/>
                <w:szCs w:val="21"/>
                <w:lang w:eastAsia="zh-CN" w:bidi="ar"/>
              </w:rPr>
              <w:t>环己基氨基磺酸钠</w:t>
            </w:r>
            <w:r>
              <w:rPr>
                <w:rFonts w:hint="eastAsia" w:ascii="宋体" w:hAnsi="宋体" w:eastAsia="宋体" w:cs="宋体"/>
                <w:spacing w:val="0"/>
                <w:kern w:val="0"/>
                <w:sz w:val="21"/>
                <w:szCs w:val="21"/>
                <w:lang w:val="en-US" w:eastAsia="zh-CN" w:bidi="ar"/>
              </w:rPr>
              <w:t>）</w:t>
            </w:r>
          </w:p>
        </w:tc>
      </w:tr>
      <w:tr w14:paraId="4728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73251A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08" w:type="pct"/>
            <w:vMerge w:val="continue"/>
            <w:noWrap w:val="0"/>
            <w:vAlign w:val="center"/>
          </w:tcPr>
          <w:p w14:paraId="17EA0E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23" w:type="pct"/>
            <w:vMerge w:val="continue"/>
            <w:noWrap w:val="0"/>
            <w:vAlign w:val="center"/>
          </w:tcPr>
          <w:p w14:paraId="1B2C17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455" w:type="pct"/>
            <w:vMerge w:val="continue"/>
            <w:noWrap w:val="0"/>
            <w:vAlign w:val="center"/>
          </w:tcPr>
          <w:p w14:paraId="36D943E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39E7082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番木瓜</w:t>
            </w:r>
          </w:p>
        </w:tc>
        <w:tc>
          <w:tcPr>
            <w:tcW w:w="1557" w:type="pct"/>
            <w:noWrap w:val="0"/>
            <w:vAlign w:val="center"/>
          </w:tcPr>
          <w:p w14:paraId="46EF111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噻虫胺、噻虫嗪</w:t>
            </w:r>
          </w:p>
        </w:tc>
        <w:tc>
          <w:tcPr>
            <w:tcW w:w="1438" w:type="pct"/>
            <w:noWrap w:val="0"/>
            <w:vAlign w:val="center"/>
          </w:tcPr>
          <w:p w14:paraId="4394DC9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乙酰甲胺磷</w:t>
            </w:r>
          </w:p>
        </w:tc>
      </w:tr>
      <w:tr w14:paraId="55BA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20B258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12C26A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7C5E141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restart"/>
            <w:noWrap w:val="0"/>
            <w:vAlign w:val="center"/>
          </w:tcPr>
          <w:p w14:paraId="2A0035B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瓜果类水果</w:t>
            </w:r>
          </w:p>
        </w:tc>
        <w:tc>
          <w:tcPr>
            <w:tcW w:w="461" w:type="pct"/>
            <w:noWrap w:val="0"/>
            <w:vAlign w:val="center"/>
          </w:tcPr>
          <w:p w14:paraId="0FC423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西瓜</w:t>
            </w:r>
          </w:p>
        </w:tc>
        <w:tc>
          <w:tcPr>
            <w:tcW w:w="1557" w:type="pct"/>
            <w:noWrap w:val="0"/>
            <w:vAlign w:val="center"/>
          </w:tcPr>
          <w:p w14:paraId="03101B4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1BD8B2D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克百威、噻虫嗪、氧乐果、乙酰甲胺磷、苯醚甲环唑</w:t>
            </w:r>
          </w:p>
        </w:tc>
      </w:tr>
      <w:tr w14:paraId="5BF2F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4690504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004F424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69E776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14717FB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2950373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甜瓜类</w:t>
            </w:r>
          </w:p>
        </w:tc>
        <w:tc>
          <w:tcPr>
            <w:tcW w:w="1557" w:type="pct"/>
            <w:noWrap w:val="0"/>
            <w:vAlign w:val="center"/>
          </w:tcPr>
          <w:p w14:paraId="594BBE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3DCA4C1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克百威、烯酰吗啉、氧乐果、乙酰甲胺磷</w:t>
            </w:r>
          </w:p>
        </w:tc>
      </w:tr>
      <w:tr w14:paraId="28D66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58FB1E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408" w:type="pct"/>
            <w:vMerge w:val="restart"/>
            <w:noWrap w:val="0"/>
            <w:vAlign w:val="center"/>
          </w:tcPr>
          <w:p w14:paraId="05242D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鲜蛋</w:t>
            </w:r>
          </w:p>
        </w:tc>
        <w:tc>
          <w:tcPr>
            <w:tcW w:w="423" w:type="pct"/>
            <w:vMerge w:val="restart"/>
            <w:noWrap w:val="0"/>
            <w:vAlign w:val="center"/>
          </w:tcPr>
          <w:p w14:paraId="15F437B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鲜蛋</w:t>
            </w:r>
          </w:p>
        </w:tc>
        <w:tc>
          <w:tcPr>
            <w:tcW w:w="455" w:type="pct"/>
            <w:vMerge w:val="restart"/>
            <w:noWrap w:val="0"/>
            <w:vAlign w:val="center"/>
          </w:tcPr>
          <w:p w14:paraId="01D275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highlight w:val="none"/>
                <w:u w:val="none"/>
                <w:lang w:val="en-US" w:eastAsia="zh-CN" w:bidi="ar"/>
              </w:rPr>
              <w:t>鲜蛋</w:t>
            </w:r>
          </w:p>
        </w:tc>
        <w:tc>
          <w:tcPr>
            <w:tcW w:w="461" w:type="pct"/>
            <w:noWrap w:val="0"/>
            <w:vAlign w:val="center"/>
          </w:tcPr>
          <w:p w14:paraId="6E7C08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鸡蛋</w:t>
            </w:r>
          </w:p>
        </w:tc>
        <w:tc>
          <w:tcPr>
            <w:tcW w:w="1557" w:type="pct"/>
            <w:noWrap w:val="0"/>
            <w:vAlign w:val="center"/>
          </w:tcPr>
          <w:p w14:paraId="07ABDF3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甲硝唑、甲氧苄啶、多西环素</w:t>
            </w:r>
          </w:p>
        </w:tc>
        <w:tc>
          <w:tcPr>
            <w:tcW w:w="1438" w:type="pct"/>
            <w:noWrap w:val="0"/>
            <w:vAlign w:val="center"/>
          </w:tcPr>
          <w:p w14:paraId="6D955DC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地美硝唑、呋喃唑酮代谢物、氟虫腈、氯霉素、氟苯尼考、甲砜霉素、恩诺沙星、氧氟沙星、沙拉沙星、磺胺类（总量）、地克珠利、托曲珠利</w:t>
            </w:r>
          </w:p>
        </w:tc>
      </w:tr>
      <w:tr w14:paraId="16B2A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6D87D9C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6CA8569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3B5A6E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FACFF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7204C1A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其他禽蛋（重点品种：鸭蛋）</w:t>
            </w:r>
          </w:p>
        </w:tc>
        <w:tc>
          <w:tcPr>
            <w:tcW w:w="1557" w:type="pct"/>
            <w:noWrap w:val="0"/>
            <w:vAlign w:val="center"/>
          </w:tcPr>
          <w:p w14:paraId="3DF0DC0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多西环素（仅鸭蛋、鹅蛋检测）</w:t>
            </w:r>
          </w:p>
        </w:tc>
        <w:tc>
          <w:tcPr>
            <w:tcW w:w="1438" w:type="pct"/>
            <w:noWrap w:val="0"/>
            <w:vAlign w:val="center"/>
          </w:tcPr>
          <w:p w14:paraId="2F387D2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呋喃唑酮代谢物、磺胺类（总量）</w:t>
            </w:r>
          </w:p>
        </w:tc>
      </w:tr>
      <w:tr w14:paraId="4B08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noWrap w:val="0"/>
            <w:vAlign w:val="center"/>
          </w:tcPr>
          <w:p w14:paraId="60E8304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408" w:type="pct"/>
            <w:noWrap w:val="0"/>
            <w:vAlign w:val="center"/>
          </w:tcPr>
          <w:p w14:paraId="048D6B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豆类</w:t>
            </w:r>
          </w:p>
        </w:tc>
        <w:tc>
          <w:tcPr>
            <w:tcW w:w="423" w:type="pct"/>
            <w:noWrap w:val="0"/>
            <w:vAlign w:val="center"/>
          </w:tcPr>
          <w:p w14:paraId="7247FF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豆类</w:t>
            </w:r>
          </w:p>
        </w:tc>
        <w:tc>
          <w:tcPr>
            <w:tcW w:w="455" w:type="pct"/>
            <w:noWrap w:val="0"/>
            <w:vAlign w:val="center"/>
          </w:tcPr>
          <w:p w14:paraId="5ECFBFA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豆类</w:t>
            </w:r>
          </w:p>
        </w:tc>
        <w:tc>
          <w:tcPr>
            <w:tcW w:w="461" w:type="pct"/>
            <w:noWrap w:val="0"/>
            <w:vAlign w:val="center"/>
          </w:tcPr>
          <w:p w14:paraId="084108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豆类</w:t>
            </w:r>
          </w:p>
        </w:tc>
        <w:tc>
          <w:tcPr>
            <w:tcW w:w="1557" w:type="pct"/>
            <w:noWrap w:val="0"/>
            <w:vAlign w:val="center"/>
          </w:tcPr>
          <w:p w14:paraId="1306215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081CD04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铅（以Pb计）、铬（以Cr计）、赭曲霉毒素A、吡虫啉、环丙唑醇</w:t>
            </w:r>
          </w:p>
        </w:tc>
      </w:tr>
      <w:tr w14:paraId="10ADD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restart"/>
            <w:noWrap w:val="0"/>
            <w:vAlign w:val="center"/>
          </w:tcPr>
          <w:p w14:paraId="588415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408" w:type="pct"/>
            <w:vMerge w:val="restart"/>
            <w:noWrap w:val="0"/>
            <w:vAlign w:val="center"/>
          </w:tcPr>
          <w:p w14:paraId="10256D1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423" w:type="pct"/>
            <w:vMerge w:val="restart"/>
            <w:noWrap w:val="0"/>
            <w:vAlign w:val="center"/>
          </w:tcPr>
          <w:p w14:paraId="5EE9E5B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455" w:type="pct"/>
            <w:vMerge w:val="restart"/>
            <w:noWrap w:val="0"/>
            <w:vAlign w:val="center"/>
          </w:tcPr>
          <w:p w14:paraId="1EBE12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461" w:type="pct"/>
            <w:noWrap w:val="0"/>
            <w:vAlign w:val="center"/>
          </w:tcPr>
          <w:p w14:paraId="300814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生干坚果</w:t>
            </w:r>
          </w:p>
        </w:tc>
        <w:tc>
          <w:tcPr>
            <w:tcW w:w="1557" w:type="pct"/>
            <w:noWrap w:val="0"/>
            <w:vAlign w:val="center"/>
          </w:tcPr>
          <w:p w14:paraId="470DBBD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1438" w:type="pct"/>
            <w:noWrap w:val="0"/>
            <w:vAlign w:val="center"/>
          </w:tcPr>
          <w:p w14:paraId="66563DA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酸价（以脂肪计）（KOH）、过氧化值（以脂肪计）、二氧化硫残留量、吡虫啉</w:t>
            </w:r>
          </w:p>
        </w:tc>
      </w:tr>
      <w:tr w14:paraId="6D45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56" w:type="pct"/>
            <w:vMerge w:val="continue"/>
            <w:noWrap w:val="0"/>
            <w:vAlign w:val="center"/>
          </w:tcPr>
          <w:p w14:paraId="379143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08" w:type="pct"/>
            <w:vMerge w:val="continue"/>
            <w:noWrap w:val="0"/>
            <w:vAlign w:val="center"/>
          </w:tcPr>
          <w:p w14:paraId="1EDF612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23" w:type="pct"/>
            <w:vMerge w:val="continue"/>
            <w:noWrap w:val="0"/>
            <w:vAlign w:val="center"/>
          </w:tcPr>
          <w:p w14:paraId="2193E49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55" w:type="pct"/>
            <w:vMerge w:val="continue"/>
            <w:noWrap w:val="0"/>
            <w:vAlign w:val="center"/>
          </w:tcPr>
          <w:p w14:paraId="0E59F2C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000000"/>
                <w:sz w:val="21"/>
                <w:szCs w:val="21"/>
                <w:u w:val="none"/>
              </w:rPr>
            </w:pPr>
          </w:p>
        </w:tc>
        <w:tc>
          <w:tcPr>
            <w:tcW w:w="461" w:type="pct"/>
            <w:noWrap w:val="0"/>
            <w:vAlign w:val="center"/>
          </w:tcPr>
          <w:p w14:paraId="4D2DA9B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生干籽类</w:t>
            </w:r>
          </w:p>
        </w:tc>
        <w:tc>
          <w:tcPr>
            <w:tcW w:w="1557" w:type="pct"/>
            <w:noWrap w:val="0"/>
            <w:vAlign w:val="center"/>
          </w:tcPr>
          <w:p w14:paraId="47E3BD3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黄曲霉毒素B</w:t>
            </w:r>
            <w:r>
              <w:rPr>
                <w:rFonts w:hint="eastAsia" w:ascii="宋体" w:hAnsi="宋体" w:eastAsia="宋体" w:cs="宋体"/>
                <w:i w:val="0"/>
                <w:iCs w:val="0"/>
                <w:color w:val="000000"/>
                <w:kern w:val="0"/>
                <w:sz w:val="21"/>
                <w:szCs w:val="21"/>
                <w:u w:val="none"/>
                <w:vertAlign w:val="subscript"/>
                <w:lang w:val="en-US" w:eastAsia="zh-CN" w:bidi="ar"/>
              </w:rPr>
              <w:t>1</w:t>
            </w:r>
            <w:r>
              <w:rPr>
                <w:rFonts w:hint="eastAsia" w:ascii="宋体" w:hAnsi="宋体" w:eastAsia="宋体" w:cs="宋体"/>
                <w:i w:val="0"/>
                <w:iCs w:val="0"/>
                <w:color w:val="000000"/>
                <w:kern w:val="0"/>
                <w:sz w:val="21"/>
                <w:szCs w:val="21"/>
                <w:u w:val="none"/>
                <w:lang w:val="en-US" w:eastAsia="zh-CN" w:bidi="ar"/>
              </w:rPr>
              <w:t>（仅花生检测）</w:t>
            </w:r>
          </w:p>
        </w:tc>
        <w:tc>
          <w:tcPr>
            <w:tcW w:w="1438" w:type="pct"/>
            <w:noWrap w:val="0"/>
            <w:vAlign w:val="center"/>
          </w:tcPr>
          <w:p w14:paraId="6985493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酸价（以脂肪计）（KOH）、过氧化值（以脂肪计）、铅（以Pb计）、镉（以Cd计）、噻虫嗪、噻虫胺</w:t>
            </w:r>
          </w:p>
        </w:tc>
      </w:tr>
    </w:tbl>
    <w:p w14:paraId="3976C504">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注：为便于评审，请供应商自行列出食品检验机构资质认定证书及附表中对应检验检测项目所在的页码或位置，提供索引表。</w:t>
      </w:r>
    </w:p>
    <w:p w14:paraId="2EFC8FCA">
      <w:pPr>
        <w:spacing w:line="360" w:lineRule="auto"/>
        <w:jc w:val="both"/>
        <w:outlineLvl w:val="0"/>
        <w:rPr>
          <w:rFonts w:ascii="宋体" w:hAnsi="宋体"/>
          <w:b/>
          <w:sz w:val="36"/>
          <w:szCs w:val="36"/>
        </w:rPr>
      </w:pPr>
    </w:p>
    <w:p w14:paraId="5D450FDE">
      <w:pPr>
        <w:rPr>
          <w:rFonts w:ascii="宋体" w:hAnsi="宋体"/>
          <w:b/>
          <w:sz w:val="36"/>
          <w:szCs w:val="36"/>
        </w:rPr>
      </w:pPr>
      <w:r>
        <w:rPr>
          <w:rFonts w:ascii="宋体" w:hAnsi="宋体"/>
          <w:b/>
          <w:sz w:val="36"/>
          <w:szCs w:val="36"/>
        </w:rPr>
        <w:br w:type="page"/>
      </w:r>
    </w:p>
    <w:p w14:paraId="6AFF138C">
      <w:pPr>
        <w:widowControl/>
        <w:spacing w:line="360" w:lineRule="auto"/>
        <w:ind w:firstLine="600"/>
        <w:jc w:val="center"/>
        <w:rPr>
          <w:rFonts w:hint="eastAsia" w:ascii="宋体" w:hAnsi="宋体"/>
          <w:b/>
          <w:sz w:val="36"/>
          <w:szCs w:val="36"/>
          <w:lang w:val="en-US" w:eastAsia="zh-CN"/>
        </w:rPr>
        <w:sectPr>
          <w:pgSz w:w="16838" w:h="11905" w:orient="landscape"/>
          <w:pgMar w:top="1803" w:right="1440" w:bottom="1803" w:left="1440" w:header="851" w:footer="992" w:gutter="0"/>
          <w:cols w:space="0" w:num="1"/>
          <w:rtlGutter w:val="0"/>
          <w:docGrid w:type="lines" w:linePitch="319" w:charSpace="0"/>
        </w:sectPr>
      </w:pPr>
    </w:p>
    <w:p w14:paraId="65AF329B">
      <w:pPr>
        <w:widowControl/>
        <w:spacing w:line="360" w:lineRule="auto"/>
        <w:ind w:firstLine="600"/>
        <w:jc w:val="center"/>
        <w:rPr>
          <w:rFonts w:hint="eastAsia" w:ascii="宋体" w:hAnsi="宋体"/>
          <w:b/>
          <w:sz w:val="36"/>
          <w:szCs w:val="36"/>
          <w:lang w:val="en-US" w:eastAsia="zh-CN"/>
        </w:rPr>
      </w:pPr>
      <w:r>
        <w:rPr>
          <w:rFonts w:hint="eastAsia" w:ascii="宋体" w:hAnsi="宋体"/>
          <w:b/>
          <w:sz w:val="36"/>
          <w:szCs w:val="36"/>
          <w:lang w:val="en-US" w:eastAsia="zh-CN"/>
        </w:rPr>
        <w:t>第六章   合同草案条款</w:t>
      </w:r>
      <w:bookmarkEnd w:id="418"/>
    </w:p>
    <w:bookmarkEnd w:id="419"/>
    <w:p w14:paraId="688328FA">
      <w:pPr>
        <w:spacing w:line="400" w:lineRule="exact"/>
        <w:jc w:val="center"/>
        <w:rPr>
          <w:rFonts w:ascii="宋体" w:hAnsi="Courier New" w:cs="宋体"/>
          <w:b/>
          <w:bCs/>
          <w:sz w:val="32"/>
          <w:szCs w:val="32"/>
        </w:rPr>
      </w:pPr>
      <w:bookmarkStart w:id="450" w:name="_Toc152045611"/>
      <w:bookmarkStart w:id="451" w:name="_Toc144974579"/>
      <w:bookmarkStart w:id="452" w:name="_Toc179632629"/>
      <w:bookmarkStart w:id="453" w:name="_Toc237251277"/>
      <w:bookmarkStart w:id="454" w:name="_Toc152042389"/>
      <w:r>
        <w:rPr>
          <w:rFonts w:hint="eastAsia" w:ascii="宋体" w:hAnsi="Courier New" w:cs="宋体"/>
          <w:b/>
          <w:bCs/>
          <w:sz w:val="32"/>
          <w:szCs w:val="32"/>
          <w:lang w:eastAsia="zh-CN"/>
        </w:rPr>
        <w:t>常州经济开发区市场监督管理局2026年食品安全抽检</w:t>
      </w:r>
      <w:r>
        <w:rPr>
          <w:rFonts w:hint="eastAsia" w:ascii="宋体" w:hAnsi="Courier New" w:cs="宋体"/>
          <w:b/>
          <w:bCs/>
          <w:sz w:val="32"/>
          <w:szCs w:val="32"/>
        </w:rPr>
        <w:t>合同</w:t>
      </w:r>
    </w:p>
    <w:bookmarkEnd w:id="450"/>
    <w:bookmarkEnd w:id="451"/>
    <w:bookmarkEnd w:id="452"/>
    <w:bookmarkEnd w:id="453"/>
    <w:bookmarkEnd w:id="454"/>
    <w:p w14:paraId="437D6DF2">
      <w:pPr>
        <w:pStyle w:val="23"/>
        <w:spacing w:line="400" w:lineRule="exact"/>
        <w:rPr>
          <w:rFonts w:cs="宋体"/>
          <w:szCs w:val="21"/>
        </w:rPr>
      </w:pPr>
      <w:r>
        <w:rPr>
          <w:rFonts w:cs="宋体"/>
          <w:b/>
          <w:szCs w:val="21"/>
          <w:lang w:val="zh-CN"/>
        </w:rPr>
        <w:t>采购人（以下称甲</w:t>
      </w:r>
      <w:r>
        <w:rPr>
          <w:rFonts w:cs="宋体"/>
          <w:b/>
          <w:szCs w:val="21"/>
        </w:rPr>
        <w:t xml:space="preserve">方）:                       </w:t>
      </w:r>
      <w:r>
        <w:rPr>
          <w:rFonts w:cs="宋体"/>
          <w:szCs w:val="21"/>
        </w:rPr>
        <w:t>合同编号：</w:t>
      </w:r>
    </w:p>
    <w:p w14:paraId="20893268">
      <w:pPr>
        <w:pStyle w:val="23"/>
        <w:spacing w:line="400" w:lineRule="exact"/>
        <w:rPr>
          <w:rFonts w:cs="宋体"/>
          <w:szCs w:val="21"/>
          <w:u w:val="single"/>
        </w:rPr>
      </w:pPr>
      <w:r>
        <w:rPr>
          <w:rFonts w:cs="宋体"/>
          <w:b/>
          <w:szCs w:val="21"/>
        </w:rPr>
        <w:t>供应商（</w:t>
      </w:r>
      <w:r>
        <w:rPr>
          <w:rFonts w:cs="宋体"/>
          <w:b/>
          <w:szCs w:val="21"/>
          <w:lang w:val="zh-CN"/>
        </w:rPr>
        <w:t>以下称</w:t>
      </w:r>
      <w:r>
        <w:rPr>
          <w:rFonts w:cs="宋体"/>
          <w:b/>
          <w:szCs w:val="21"/>
        </w:rPr>
        <w:t xml:space="preserve">乙方）:                       </w:t>
      </w:r>
      <w:r>
        <w:rPr>
          <w:rFonts w:cs="宋体"/>
          <w:szCs w:val="21"/>
        </w:rPr>
        <w:t>签订地点：</w:t>
      </w:r>
    </w:p>
    <w:p w14:paraId="0A7E81BA">
      <w:pPr>
        <w:pStyle w:val="4"/>
        <w:spacing w:line="400" w:lineRule="exact"/>
        <w:ind w:firstLine="4620" w:firstLineChars="2200"/>
        <w:rPr>
          <w:rFonts w:hint="eastAsia" w:hAnsi="宋体" w:cs="宋体"/>
          <w:b/>
          <w:sz w:val="21"/>
          <w:szCs w:val="21"/>
        </w:rPr>
      </w:pPr>
      <w:r>
        <w:rPr>
          <w:rFonts w:hint="eastAsia" w:hAnsi="宋体" w:cs="宋体"/>
          <w:sz w:val="21"/>
          <w:szCs w:val="21"/>
        </w:rPr>
        <w:t xml:space="preserve">合同时间: </w:t>
      </w:r>
      <w:r>
        <w:rPr>
          <w:rFonts w:hint="eastAsia" w:hAnsi="宋体" w:cs="宋体"/>
          <w:sz w:val="21"/>
          <w:szCs w:val="21"/>
          <w:u w:val="single"/>
        </w:rPr>
        <w:t xml:space="preserve">    年   月   日</w:t>
      </w:r>
    </w:p>
    <w:p w14:paraId="7BAC90C2">
      <w:pPr>
        <w:spacing w:line="360" w:lineRule="exact"/>
        <w:ind w:firstLine="420" w:firstLineChars="200"/>
        <w:rPr>
          <w:rFonts w:hint="eastAsia" w:ascii="宋体" w:hAnsi="宋体" w:cs="宋体"/>
          <w:szCs w:val="21"/>
        </w:rPr>
      </w:pPr>
      <w:r>
        <w:rPr>
          <w:rFonts w:hint="eastAsia" w:ascii="宋体" w:hAnsi="宋体" w:cs="宋体"/>
          <w:szCs w:val="21"/>
        </w:rPr>
        <w:t>甲乙双方依据《中华人民共和国民法典》、《中华人民共和国食品安全法》、《食品安全抽样检验管理办法》、《食品安全监督抽检和风险监测工作规范》、《食用农产品抽样检验和核查处置》以及有关法律、法规的规定，经协商一致，订立本合同，以便共同遵守。</w:t>
      </w:r>
    </w:p>
    <w:p w14:paraId="22D9DB6D">
      <w:pPr>
        <w:pStyle w:val="23"/>
        <w:spacing w:line="360" w:lineRule="exact"/>
        <w:ind w:firstLine="422" w:firstLineChars="200"/>
        <w:rPr>
          <w:rFonts w:hAnsi="宋体" w:cs="宋体"/>
          <w:b/>
          <w:szCs w:val="21"/>
        </w:rPr>
      </w:pPr>
      <w:r>
        <w:rPr>
          <w:rFonts w:cs="宋体"/>
          <w:b/>
          <w:szCs w:val="21"/>
        </w:rPr>
        <w:t>第一条 合同标的</w:t>
      </w:r>
    </w:p>
    <w:p w14:paraId="20F029EA">
      <w:pPr>
        <w:widowControl/>
        <w:adjustRightInd w:val="0"/>
        <w:spacing w:line="360" w:lineRule="exact"/>
        <w:ind w:firstLine="420" w:firstLineChars="200"/>
        <w:jc w:val="left"/>
        <w:rPr>
          <w:rFonts w:hint="eastAsia" w:ascii="宋体" w:hAnsi="宋体" w:cs="宋体"/>
          <w:kern w:val="0"/>
          <w:szCs w:val="21"/>
          <w:lang w:val="zh-CN"/>
        </w:rPr>
      </w:pPr>
      <w:r>
        <w:rPr>
          <w:rFonts w:hint="eastAsia" w:ascii="宋体" w:hAnsi="宋体" w:cs="宋体"/>
          <w:kern w:val="0"/>
          <w:szCs w:val="21"/>
          <w:lang w:val="zh-CN"/>
        </w:rPr>
        <w:t>乙方根据甲方需求提供下列服务：</w:t>
      </w:r>
      <w:r>
        <w:rPr>
          <w:rFonts w:hint="eastAsia" w:ascii="宋体" w:hAnsi="宋体" w:cs="宋体"/>
          <w:szCs w:val="21"/>
          <w:u w:val="single"/>
        </w:rPr>
        <w:t xml:space="preserve"> </w:t>
      </w:r>
      <w:r>
        <w:rPr>
          <w:rFonts w:hint="eastAsia" w:ascii="宋体" w:hAnsi="宋体" w:cs="宋体"/>
          <w:szCs w:val="21"/>
          <w:u w:val="single"/>
          <w:lang w:eastAsia="zh-CN"/>
        </w:rPr>
        <w:t>常州经济开发区市场监督管理局2026年食品安全抽检</w:t>
      </w:r>
      <w:r>
        <w:rPr>
          <w:rFonts w:hint="eastAsia" w:ascii="宋体" w:hAnsi="宋体" w:cs="宋体"/>
          <w:kern w:val="0"/>
          <w:szCs w:val="21"/>
          <w:lang w:val="zh-CN"/>
        </w:rPr>
        <w:t>，</w:t>
      </w:r>
      <w:r>
        <w:rPr>
          <w:rFonts w:hint="eastAsia" w:ascii="宋体" w:hAnsi="宋体" w:cs="宋体"/>
          <w:szCs w:val="21"/>
        </w:rPr>
        <w:t>系指根据合同规定乙方须承担与服务有关的所有辅助服务</w:t>
      </w:r>
      <w:r>
        <w:rPr>
          <w:rFonts w:hint="eastAsia" w:ascii="宋体" w:hAnsi="宋体" w:cs="宋体"/>
          <w:kern w:val="0"/>
          <w:szCs w:val="21"/>
          <w:lang w:val="zh-CN"/>
        </w:rPr>
        <w:t>。包括但不限于以下内容：</w:t>
      </w:r>
    </w:p>
    <w:p w14:paraId="754BA352">
      <w:pPr>
        <w:snapToGrid w:val="0"/>
        <w:spacing w:line="360" w:lineRule="exact"/>
        <w:ind w:firstLine="430" w:firstLineChars="200"/>
        <w:rPr>
          <w:rFonts w:hint="eastAsia" w:ascii="宋体" w:hAnsi="宋体" w:cs="宋体"/>
          <w:b/>
          <w:bCs/>
          <w:spacing w:val="2"/>
          <w:szCs w:val="21"/>
        </w:rPr>
      </w:pPr>
      <w:r>
        <w:rPr>
          <w:rFonts w:hint="eastAsia" w:ascii="宋体" w:hAnsi="宋体" w:cs="宋体"/>
          <w:b/>
          <w:bCs/>
          <w:spacing w:val="2"/>
          <w:szCs w:val="21"/>
        </w:rPr>
        <w:t>1.检测内容</w:t>
      </w:r>
    </w:p>
    <w:p w14:paraId="7D0A7411">
      <w:pPr>
        <w:snapToGrid w:val="0"/>
        <w:spacing w:line="360" w:lineRule="exact"/>
        <w:ind w:firstLine="420" w:firstLineChars="200"/>
        <w:rPr>
          <w:rFonts w:hint="eastAsia"/>
        </w:rPr>
      </w:pPr>
      <w:r>
        <w:t>甲方委托乙方对常州经济开发区区域内食品安全开展抽样检验工作，抽检品种和批次数 量以实际分配为准，部分标段的批次数量会根据应急和机动等情况进行增减。乙方应保证其 具备检测该任务所包含项目的法定资质，如不具备相应资质，应当及时告知甲方，以便甲方 作相应调整。对列入指定品种的食用农产品，抽样量不少于食用农产品销售环节检测批次数的50%，检验项目应包含所指定的项目。</w:t>
      </w:r>
    </w:p>
    <w:p w14:paraId="33BEBF8C">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如供应商不具备保健食品、特殊膳食食品、特殊医学用途配方食品、婴幼儿配方食品检测能力的，经甲方书面同意后可委托具备检测该项目能力的检验机构进行检验。</w:t>
      </w:r>
    </w:p>
    <w:p w14:paraId="6B2181F0">
      <w:pPr>
        <w:snapToGrid w:val="0"/>
        <w:spacing w:line="360" w:lineRule="exact"/>
        <w:ind w:firstLine="430" w:firstLineChars="200"/>
        <w:rPr>
          <w:rFonts w:hint="eastAsia" w:ascii="宋体" w:hAnsi="宋体" w:cs="宋体"/>
          <w:b/>
          <w:bCs/>
          <w:spacing w:val="2"/>
          <w:szCs w:val="21"/>
        </w:rPr>
      </w:pPr>
      <w:r>
        <w:rPr>
          <w:rFonts w:hint="eastAsia" w:ascii="宋体" w:hAnsi="宋体" w:cs="宋体"/>
          <w:b/>
          <w:bCs/>
          <w:spacing w:val="2"/>
          <w:szCs w:val="21"/>
        </w:rPr>
        <w:t>2.检测要求</w:t>
      </w:r>
    </w:p>
    <w:p w14:paraId="3A4929D8">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乙方应当在接到抽样检验任务后两日内，编制《检测细则》，内容包括抽样方法、检验项目、检验标准、判定原则等。《检测细则》应当经甲方认可后方可实施。</w:t>
      </w:r>
    </w:p>
    <w:p w14:paraId="5B62946E">
      <w:pPr>
        <w:snapToGrid w:val="0"/>
        <w:spacing w:line="360" w:lineRule="exact"/>
        <w:ind w:firstLine="430" w:firstLineChars="200"/>
        <w:rPr>
          <w:rFonts w:hint="eastAsia" w:ascii="宋体" w:hAnsi="宋体" w:cs="宋体"/>
          <w:b/>
          <w:bCs/>
          <w:spacing w:val="2"/>
          <w:szCs w:val="21"/>
        </w:rPr>
      </w:pPr>
      <w:r>
        <w:rPr>
          <w:rFonts w:hint="eastAsia" w:ascii="宋体" w:hAnsi="宋体" w:cs="宋体"/>
          <w:b/>
          <w:bCs/>
          <w:spacing w:val="2"/>
          <w:szCs w:val="21"/>
        </w:rPr>
        <w:t>3.时间要求</w:t>
      </w:r>
    </w:p>
    <w:p w14:paraId="3243FDFD">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按照计划安排，所有取样工作均在当年11月20日前完成，所有检测报告均应在当年11月30日前出具并上传相关平台系统。因甲方原因造成取样延迟的，不追究乙方责任；因乙方原因造成取样和报告延迟的，乙方应当按每批次500元/天支付甲方赔偿金。取样完成后，乙方应及时进行检验，并在十个工作日内出具检验结论，并保证检验结果准确。</w:t>
      </w:r>
    </w:p>
    <w:p w14:paraId="6721DFB4">
      <w:pPr>
        <w:snapToGrid w:val="0"/>
        <w:spacing w:line="360" w:lineRule="exact"/>
        <w:ind w:firstLine="430" w:firstLineChars="200"/>
        <w:rPr>
          <w:rFonts w:hint="eastAsia" w:ascii="宋体" w:hAnsi="宋体" w:cs="宋体"/>
          <w:b/>
          <w:bCs/>
          <w:spacing w:val="2"/>
          <w:szCs w:val="21"/>
        </w:rPr>
      </w:pPr>
      <w:r>
        <w:rPr>
          <w:rFonts w:hint="eastAsia" w:ascii="宋体" w:hAnsi="宋体" w:cs="宋体"/>
          <w:b/>
          <w:bCs/>
          <w:spacing w:val="2"/>
          <w:szCs w:val="21"/>
        </w:rPr>
        <w:t>4.取样要求</w:t>
      </w:r>
    </w:p>
    <w:p w14:paraId="2295EA04">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1）甲方根据情况派出执法人员参加现场取样，确定被检单位，乙方应当派两名及以上有资质的工作人员参与取样，并确保按照国家规定的采样规则和规范进行取样。具体取样食品品种由甲方执法人员根据抽检计划决定，抽样过程填制《食品抽样检验工作单》。</w:t>
      </w:r>
    </w:p>
    <w:p w14:paraId="750A0A02">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（2）乙方取样时，应同时提取能够满足复检需要的足够的备样。样本、备样应当购买，购样费用由乙方支付。取样后，在甲方监督下按要求封存样本及备样，由乙方工作人员一同带回并妥善保管。</w:t>
      </w:r>
    </w:p>
    <w:p w14:paraId="4BEB96C1">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（3）采集的用于微生物及其致病因子检验的样品必须在采样后4小时内开始检测，生鲜样品采集在采样当日开始检测。</w:t>
      </w:r>
    </w:p>
    <w:p w14:paraId="181CB848">
      <w:pPr>
        <w:snapToGrid w:val="0"/>
        <w:spacing w:line="360" w:lineRule="exact"/>
        <w:ind w:firstLine="430" w:firstLineChars="200"/>
        <w:rPr>
          <w:rFonts w:hint="eastAsia" w:ascii="宋体" w:hAnsi="宋体" w:cs="宋体"/>
          <w:b/>
          <w:bCs/>
          <w:spacing w:val="2"/>
          <w:szCs w:val="21"/>
        </w:rPr>
      </w:pPr>
      <w:r>
        <w:rPr>
          <w:rFonts w:hint="eastAsia" w:ascii="宋体" w:hAnsi="宋体" w:cs="宋体"/>
          <w:b/>
          <w:bCs/>
          <w:spacing w:val="2"/>
          <w:szCs w:val="21"/>
        </w:rPr>
        <w:t>5.样品保存要求</w:t>
      </w:r>
    </w:p>
    <w:p w14:paraId="51682E32">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食品安全监督抽检的检验结论合格的，乙方应当自检验结论作出之日起3个月内妥善保存复检备份样品；复检备份样品剩余保质期不足3个月的，应当保存至保质期结束。检验结论不合格的，乙方应当自检验结论作出之日起6个月内妥善保存复检备份样品；复检备份样品剩余保质期不足6个月的，应当保存至保质期结束。</w:t>
      </w:r>
    </w:p>
    <w:p w14:paraId="50418EB0">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针对食品抽样过程中对有特殊保存要求的样品管理，供应商应具备相应的速冻及冷藏运输条件。</w:t>
      </w:r>
    </w:p>
    <w:p w14:paraId="57380EC3">
      <w:pPr>
        <w:snapToGrid w:val="0"/>
        <w:spacing w:line="360" w:lineRule="exact"/>
        <w:ind w:firstLine="430" w:firstLineChars="200"/>
        <w:rPr>
          <w:rFonts w:hint="eastAsia" w:ascii="宋体" w:hAnsi="宋体" w:cs="宋体"/>
          <w:b/>
          <w:bCs/>
          <w:spacing w:val="2"/>
          <w:szCs w:val="21"/>
        </w:rPr>
      </w:pPr>
      <w:r>
        <w:rPr>
          <w:rFonts w:hint="eastAsia" w:ascii="宋体" w:hAnsi="宋体" w:cs="宋体"/>
          <w:b/>
          <w:bCs/>
          <w:spacing w:val="2"/>
          <w:szCs w:val="21"/>
        </w:rPr>
        <w:t>6.出具检测报告</w:t>
      </w:r>
    </w:p>
    <w:p w14:paraId="6A156A44">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1）乙方应当自收到样品之日起20个工作日内出具检验报告并报送甲方，检验报告出来后，乙方应将不合格报告于两个工作日内及时送达甲方，合格报告五个工作日内送达。当月实施抽检的结果汇总表（电子版及文字版）等相关材料，乙方于收集完全后2个工作日内统一提交甲方。</w:t>
      </w:r>
    </w:p>
    <w:p w14:paraId="59E55991">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（2）检验结果为合格的，检验报告由乙方自己留存，如甲方另有要求，两份交给甲方；检验结果为不合格的，乙方应印制检验报告，一份自己留存，六份在两个工作日内及时送达甲方。</w:t>
      </w:r>
    </w:p>
    <w:p w14:paraId="1184A556">
      <w:pPr>
        <w:snapToGrid w:val="0"/>
        <w:spacing w:line="360" w:lineRule="exact"/>
        <w:ind w:firstLine="430" w:firstLineChars="200"/>
        <w:rPr>
          <w:rFonts w:hint="eastAsia" w:ascii="宋体" w:hAnsi="宋体" w:cs="宋体"/>
          <w:b/>
          <w:bCs/>
          <w:spacing w:val="2"/>
          <w:szCs w:val="21"/>
        </w:rPr>
      </w:pPr>
      <w:r>
        <w:rPr>
          <w:rFonts w:hint="eastAsia" w:ascii="宋体" w:hAnsi="宋体" w:cs="宋体"/>
          <w:b/>
          <w:bCs/>
          <w:spacing w:val="2"/>
          <w:szCs w:val="21"/>
        </w:rPr>
        <w:t>7.操作办法</w:t>
      </w:r>
    </w:p>
    <w:p w14:paraId="34130FCF">
      <w:pPr>
        <w:snapToGrid w:val="0"/>
        <w:spacing w:line="360" w:lineRule="exact"/>
        <w:ind w:firstLine="428" w:firstLineChars="200"/>
        <w:rPr>
          <w:rFonts w:hint="eastAsia" w:ascii="宋体" w:hAnsi="宋体" w:cs="宋体"/>
          <w:spacing w:val="2"/>
          <w:szCs w:val="21"/>
        </w:rPr>
      </w:pPr>
      <w:r>
        <w:rPr>
          <w:rFonts w:hint="eastAsia" w:ascii="宋体" w:hAnsi="宋体" w:cs="宋体"/>
          <w:spacing w:val="2"/>
          <w:szCs w:val="21"/>
        </w:rPr>
        <w:t>本次检测任务分别在食品生产、流通和餐饮服务等环节，甲方将组织乙方承担相应环节的抽检任务，具体操作要求以甲方食品安全年度抽检计划为准。</w:t>
      </w:r>
    </w:p>
    <w:p w14:paraId="6EA0D8DA">
      <w:pPr>
        <w:pStyle w:val="23"/>
        <w:spacing w:line="360" w:lineRule="exact"/>
        <w:ind w:firstLine="422" w:firstLineChars="200"/>
        <w:rPr>
          <w:rFonts w:hAnsi="宋体" w:cs="宋体"/>
          <w:b/>
          <w:szCs w:val="21"/>
        </w:rPr>
      </w:pPr>
      <w:r>
        <w:rPr>
          <w:rFonts w:cs="宋体"/>
          <w:b/>
          <w:szCs w:val="21"/>
        </w:rPr>
        <w:t>第二条 合同价格</w:t>
      </w:r>
    </w:p>
    <w:p w14:paraId="0CA9035B">
      <w:pPr>
        <w:pStyle w:val="23"/>
        <w:spacing w:line="360" w:lineRule="exact"/>
        <w:ind w:firstLine="422" w:firstLineChars="200"/>
        <w:rPr>
          <w:rFonts w:hAnsi="宋体" w:cs="宋体"/>
          <w:b/>
          <w:sz w:val="21"/>
          <w:szCs w:val="21"/>
        </w:rPr>
      </w:pPr>
      <w:r>
        <w:rPr>
          <w:rFonts w:hint="eastAsia" w:ascii="宋体" w:hAnsi="宋体" w:eastAsia="宋体" w:cs="宋体"/>
          <w:b/>
          <w:color w:val="000000"/>
          <w:sz w:val="21"/>
          <w:szCs w:val="21"/>
          <w:highlight w:val="none"/>
        </w:rPr>
        <w:t>签约合同价：</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元，其中项目检测费为《市场监管部门食品安全抽检监测项目检验费用参考表》的百分之</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（小写《市场监管部门食品安全抽检监测项目检验费用参考表》的</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w:t>
      </w:r>
      <w:r>
        <w:rPr>
          <w:rFonts w:cs="宋体"/>
          <w:b/>
          <w:sz w:val="21"/>
          <w:szCs w:val="21"/>
        </w:rPr>
        <w:t xml:space="preserve">。 </w:t>
      </w:r>
    </w:p>
    <w:p w14:paraId="46FF18C9">
      <w:pPr>
        <w:pStyle w:val="23"/>
        <w:spacing w:line="360" w:lineRule="exact"/>
        <w:ind w:firstLine="424" w:firstLineChars="202"/>
        <w:rPr>
          <w:rFonts w:cs="宋体"/>
          <w:szCs w:val="21"/>
        </w:rPr>
      </w:pPr>
      <w:r>
        <w:rPr>
          <w:rFonts w:cs="宋体"/>
          <w:szCs w:val="21"/>
        </w:rPr>
        <w:t>本合同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2FEDECFF">
      <w:pPr>
        <w:pStyle w:val="23"/>
        <w:spacing w:line="360" w:lineRule="exact"/>
        <w:ind w:firstLine="424" w:firstLineChars="202"/>
        <w:rPr>
          <w:rFonts w:cs="宋体"/>
          <w:szCs w:val="21"/>
        </w:rPr>
      </w:pPr>
      <w:r>
        <w:rPr>
          <w:rFonts w:cs="宋体"/>
          <w:szCs w:val="21"/>
        </w:rPr>
        <w:t>本合同价款还包含乙方应当提供的伴随服务/售后服务费用。</w:t>
      </w:r>
    </w:p>
    <w:p w14:paraId="413DF9C3">
      <w:pPr>
        <w:pStyle w:val="23"/>
        <w:spacing w:line="360" w:lineRule="exact"/>
        <w:ind w:firstLine="426" w:firstLineChars="202"/>
        <w:rPr>
          <w:rFonts w:cs="宋体"/>
          <w:b/>
          <w:szCs w:val="21"/>
        </w:rPr>
      </w:pPr>
      <w:r>
        <w:rPr>
          <w:rFonts w:cs="宋体"/>
          <w:b/>
          <w:szCs w:val="21"/>
        </w:rPr>
        <w:t>第三条 组成本合同的有关文件</w:t>
      </w:r>
    </w:p>
    <w:p w14:paraId="12ACA7CD">
      <w:pPr>
        <w:pStyle w:val="23"/>
        <w:spacing w:line="360" w:lineRule="exact"/>
        <w:ind w:firstLine="424" w:firstLineChars="202"/>
        <w:rPr>
          <w:rFonts w:cs="宋体"/>
          <w:szCs w:val="21"/>
        </w:rPr>
      </w:pPr>
      <w:r>
        <w:rPr>
          <w:rFonts w:cs="宋体"/>
          <w:szCs w:val="21"/>
        </w:rPr>
        <w:t>下列与本次采购活动有关的文件及有关附件是本合同不可分割的组成部分，与本合同具有同等法律效力，这些文件包括但不限于：</w:t>
      </w:r>
    </w:p>
    <w:p w14:paraId="50A13B94">
      <w:pPr>
        <w:pStyle w:val="23"/>
        <w:spacing w:line="360" w:lineRule="exact"/>
        <w:ind w:firstLine="424" w:firstLineChars="202"/>
        <w:rPr>
          <w:rFonts w:cs="宋体"/>
          <w:szCs w:val="21"/>
        </w:rPr>
      </w:pPr>
      <w:r>
        <w:rPr>
          <w:rFonts w:cs="宋体"/>
          <w:szCs w:val="21"/>
        </w:rPr>
        <w:t>（1）竞争性磋商文件（编号：）</w:t>
      </w:r>
    </w:p>
    <w:p w14:paraId="24E185CC">
      <w:pPr>
        <w:pStyle w:val="23"/>
        <w:spacing w:line="360" w:lineRule="exact"/>
        <w:ind w:firstLine="424" w:firstLineChars="202"/>
        <w:rPr>
          <w:rFonts w:cs="宋体"/>
          <w:szCs w:val="21"/>
        </w:rPr>
      </w:pPr>
      <w:r>
        <w:rPr>
          <w:rFonts w:cs="宋体"/>
          <w:szCs w:val="21"/>
        </w:rPr>
        <w:t>（2）乙方提供的磋商响应文件；</w:t>
      </w:r>
    </w:p>
    <w:p w14:paraId="7AFF4B96">
      <w:pPr>
        <w:pStyle w:val="23"/>
        <w:spacing w:line="360" w:lineRule="exact"/>
        <w:ind w:firstLine="424" w:firstLineChars="202"/>
        <w:rPr>
          <w:rFonts w:cs="宋体"/>
          <w:szCs w:val="21"/>
        </w:rPr>
      </w:pPr>
      <w:r>
        <w:rPr>
          <w:rFonts w:cs="宋体"/>
          <w:szCs w:val="21"/>
        </w:rPr>
        <w:t>（3）成交通知书；</w:t>
      </w:r>
    </w:p>
    <w:p w14:paraId="325D33C7">
      <w:pPr>
        <w:pStyle w:val="23"/>
        <w:spacing w:line="360" w:lineRule="exact"/>
        <w:ind w:firstLine="424" w:firstLineChars="202"/>
        <w:rPr>
          <w:rFonts w:cs="宋体"/>
          <w:szCs w:val="21"/>
        </w:rPr>
      </w:pPr>
      <w:r>
        <w:rPr>
          <w:rFonts w:cs="宋体"/>
          <w:szCs w:val="21"/>
        </w:rPr>
        <w:t>（4）甲乙双方商定的其他文件等。</w:t>
      </w:r>
    </w:p>
    <w:p w14:paraId="3485D09B">
      <w:pPr>
        <w:pStyle w:val="23"/>
        <w:spacing w:line="360" w:lineRule="exact"/>
        <w:ind w:firstLine="424" w:firstLineChars="202"/>
        <w:rPr>
          <w:rFonts w:cs="宋体"/>
          <w:szCs w:val="21"/>
        </w:rPr>
      </w:pPr>
      <w:r>
        <w:rPr>
          <w:rFonts w:cs="宋体"/>
          <w:szCs w:val="21"/>
        </w:rPr>
        <w:t>（5）附件1：《食品安全抽样检验工作委托书》</w:t>
      </w:r>
    </w:p>
    <w:p w14:paraId="144B5AE7">
      <w:pPr>
        <w:pStyle w:val="23"/>
        <w:spacing w:line="360" w:lineRule="exact"/>
        <w:ind w:firstLine="424" w:firstLineChars="202"/>
        <w:rPr>
          <w:rFonts w:cs="宋体"/>
          <w:szCs w:val="21"/>
        </w:rPr>
      </w:pPr>
      <w:r>
        <w:rPr>
          <w:rFonts w:cs="宋体"/>
          <w:szCs w:val="21"/>
        </w:rPr>
        <w:t>（6）附件2：《202</w:t>
      </w:r>
      <w:r>
        <w:rPr>
          <w:rFonts w:hint="eastAsia" w:cs="宋体"/>
          <w:szCs w:val="21"/>
          <w:lang w:val="en-US" w:eastAsia="zh-CN"/>
        </w:rPr>
        <w:t>6</w:t>
      </w:r>
      <w:r>
        <w:rPr>
          <w:rFonts w:cs="宋体"/>
          <w:szCs w:val="21"/>
        </w:rPr>
        <w:t>年常州经济开发区食品抽样检测工作任务分配及要求》</w:t>
      </w:r>
    </w:p>
    <w:p w14:paraId="72925A3C">
      <w:pPr>
        <w:pStyle w:val="23"/>
        <w:spacing w:line="360" w:lineRule="exact"/>
        <w:ind w:firstLine="424" w:firstLineChars="202"/>
        <w:rPr>
          <w:rFonts w:cs="宋体"/>
          <w:szCs w:val="21"/>
        </w:rPr>
      </w:pPr>
      <w:r>
        <w:rPr>
          <w:rFonts w:cs="宋体"/>
          <w:szCs w:val="21"/>
        </w:rPr>
        <w:t>（7）附件3：《202</w:t>
      </w:r>
      <w:r>
        <w:rPr>
          <w:rFonts w:hint="eastAsia" w:cs="宋体"/>
          <w:szCs w:val="21"/>
          <w:lang w:val="en-US" w:eastAsia="zh-CN"/>
        </w:rPr>
        <w:t>6</w:t>
      </w:r>
      <w:r>
        <w:rPr>
          <w:rFonts w:cs="宋体"/>
          <w:szCs w:val="21"/>
        </w:rPr>
        <w:t>年常州经济开发区食品安全抽检项目承检单位绩效考核评价细则》</w:t>
      </w:r>
    </w:p>
    <w:p w14:paraId="53DF6638">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第四条 履约保证金</w:t>
      </w:r>
    </w:p>
    <w:p w14:paraId="28A07797">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本项目免收磋商保证金。</w:t>
      </w:r>
    </w:p>
    <w:p w14:paraId="69E40163">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第五条 合同款结算及支付</w:t>
      </w:r>
    </w:p>
    <w:p w14:paraId="39574E56">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1.本合同项下所有款项均以人民币支付。</w:t>
      </w:r>
    </w:p>
    <w:p w14:paraId="61ADC211">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2.本合同项下的采购资金由甲方自行支付，乙方向甲方开具发票。</w:t>
      </w:r>
    </w:p>
    <w:p w14:paraId="52DDB07A">
      <w:pPr>
        <w:keepNext w:val="0"/>
        <w:keepLines w:val="0"/>
        <w:pageBreakBefore w:val="0"/>
        <w:shd w:val="clear" w:color="auto" w:fill="auto"/>
        <w:spacing w:line="360" w:lineRule="auto"/>
        <w:ind w:firstLine="420" w:firstLineChars="200"/>
        <w:rPr>
          <w:rFonts w:hint="eastAsia" w:ascii="宋体" w:hAnsi="宋体" w:cs="宋体"/>
          <w:szCs w:val="21"/>
        </w:rPr>
      </w:pPr>
      <w:r>
        <w:rPr>
          <w:rFonts w:hint="eastAsia" w:ascii="宋体" w:hAnsi="宋体" w:cs="宋体"/>
          <w:szCs w:val="21"/>
        </w:rPr>
        <w:t>3.检测费用标准为：乙方根据单批次均价制定检测项目的类别，单个项目检测费用以《市场监管部门食品安全抽检监测项目检验费用参考表》中收费标准*</w:t>
      </w:r>
      <w:r>
        <w:rPr>
          <w:rFonts w:hint="eastAsia" w:ascii="宋体" w:hAnsi="宋体" w:cs="宋体"/>
          <w:szCs w:val="21"/>
          <w:u w:val="single"/>
          <w:lang w:val="en-US" w:eastAsia="zh-CN"/>
        </w:rPr>
        <w:t xml:space="preserve">    </w:t>
      </w:r>
      <w:r>
        <w:rPr>
          <w:rFonts w:hint="eastAsia" w:ascii="宋体" w:hAnsi="宋体" w:cs="宋体"/>
          <w:szCs w:val="21"/>
          <w:lang w:val="en-US" w:eastAsia="zh-CN"/>
        </w:rPr>
        <w:t>%</w:t>
      </w:r>
      <w:r>
        <w:rPr>
          <w:rFonts w:hint="eastAsia" w:ascii="宋体" w:hAnsi="宋体" w:cs="宋体"/>
          <w:szCs w:val="21"/>
        </w:rPr>
        <w:t>为准，甲方根据</w:t>
      </w:r>
      <w:r>
        <w:rPr>
          <w:rFonts w:hint="eastAsia" w:ascii="宋体" w:hAnsi="宋体" w:cs="宋体"/>
          <w:szCs w:val="21"/>
          <w:lang w:val="en-US" w:eastAsia="zh-CN"/>
        </w:rPr>
        <w:t>乙方</w:t>
      </w:r>
      <w:r>
        <w:rPr>
          <w:rFonts w:hint="eastAsia" w:ascii="宋体" w:hAnsi="宋体" w:cs="宋体"/>
          <w:szCs w:val="21"/>
        </w:rPr>
        <w:t>出具的检验结果和报告数量，按实结算。其他费用包含抽样样品购买、运输、检验、差旅、对被抽样单位评估等</w:t>
      </w:r>
      <w:r>
        <w:rPr>
          <w:rFonts w:hint="eastAsia" w:ascii="宋体" w:hAnsi="宋体" w:cs="宋体"/>
          <w:szCs w:val="21"/>
          <w:lang w:val="en-US" w:eastAsia="zh-CN"/>
        </w:rPr>
        <w:t>乙方</w:t>
      </w:r>
      <w:r>
        <w:rPr>
          <w:rFonts w:hint="eastAsia" w:ascii="宋体" w:hAnsi="宋体" w:cs="宋体"/>
          <w:szCs w:val="21"/>
        </w:rPr>
        <w:t>为抽检而产生的各项费用，该费用单批次平均价格不超过人民币</w:t>
      </w:r>
      <w:r>
        <w:rPr>
          <w:rFonts w:hint="eastAsia" w:ascii="宋体" w:hAnsi="宋体" w:cs="宋体"/>
          <w:szCs w:val="21"/>
          <w:lang w:val="en-US" w:eastAsia="zh-CN"/>
        </w:rPr>
        <w:t>150</w:t>
      </w:r>
      <w:r>
        <w:rPr>
          <w:rFonts w:hint="eastAsia" w:ascii="宋体" w:hAnsi="宋体" w:cs="宋体"/>
          <w:szCs w:val="21"/>
        </w:rPr>
        <w:t>元整。检测费用加其他费用不得多于合同签订金额。</w:t>
      </w:r>
    </w:p>
    <w:p w14:paraId="71AD310C">
      <w:pPr>
        <w:keepNext w:val="0"/>
        <w:keepLines w:val="0"/>
        <w:pageBreakBefore w:val="0"/>
        <w:shd w:val="clear" w:color="auto" w:fill="auto"/>
        <w:spacing w:line="360" w:lineRule="auto"/>
        <w:ind w:firstLine="420" w:firstLineChars="200"/>
        <w:rPr>
          <w:rFonts w:hint="eastAsia" w:ascii="宋体" w:hAnsi="宋体" w:eastAsia="宋体" w:cs="宋体"/>
          <w:szCs w:val="21"/>
          <w:lang w:val="en-US" w:eastAsia="zh-CN"/>
        </w:rPr>
      </w:pPr>
      <w:r>
        <w:rPr>
          <w:rFonts w:hint="eastAsia" w:ascii="宋体" w:hAnsi="宋体" w:cs="宋体"/>
          <w:szCs w:val="21"/>
        </w:rPr>
        <w:t>所抽取的样品检验项目应全部覆盖《2025年常州市食品安全监督抽检品种、项目表》中必检项目</w:t>
      </w:r>
      <w:r>
        <w:rPr>
          <w:rFonts w:hint="eastAsia" w:ascii="宋体" w:hAnsi="宋体" w:cs="宋体"/>
          <w:szCs w:val="21"/>
          <w:lang w:eastAsia="zh-CN"/>
        </w:rPr>
        <w:t>。</w:t>
      </w:r>
    </w:p>
    <w:p w14:paraId="206812DD">
      <w:pPr>
        <w:keepNext w:val="0"/>
        <w:keepLines w:val="0"/>
        <w:pageBreakBefore w:val="0"/>
        <w:shd w:val="clear" w:color="auto" w:fill="auto"/>
        <w:spacing w:line="360" w:lineRule="auto"/>
        <w:ind w:firstLine="420" w:firstLineChars="200"/>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.结算原则：</w:t>
      </w:r>
      <w:r>
        <w:rPr>
          <w:rFonts w:hint="eastAsia" w:ascii="宋体" w:hAnsi="宋体" w:cs="宋体"/>
          <w:szCs w:val="21"/>
          <w:lang w:val="en-US" w:eastAsia="zh-CN"/>
        </w:rPr>
        <w:t>按照检测费用加其他费用结算</w:t>
      </w:r>
      <w:r>
        <w:rPr>
          <w:rFonts w:hint="eastAsia" w:ascii="宋体" w:hAnsi="宋体" w:cs="宋体"/>
          <w:szCs w:val="21"/>
        </w:rPr>
        <w:t>，</w:t>
      </w:r>
      <w:r>
        <w:rPr>
          <w:rFonts w:hint="eastAsia" w:ascii="宋体" w:hAnsi="宋体" w:cs="宋体"/>
          <w:szCs w:val="21"/>
          <w:lang w:val="en-US" w:eastAsia="zh-CN"/>
        </w:rPr>
        <w:t>其中检测费用按签约合同价结算，其他费用按照单批次150元结算。</w:t>
      </w:r>
      <w:r>
        <w:rPr>
          <w:rFonts w:hint="eastAsia" w:ascii="宋体" w:hAnsi="宋体" w:cs="宋体"/>
          <w:szCs w:val="21"/>
        </w:rPr>
        <w:t>所有批次项目检测结束后，经招标人确认检测结果无异议后，甲方根据乙方出具的检验结果和报告数量，按实结算。</w:t>
      </w:r>
    </w:p>
    <w:p w14:paraId="7A4920A0">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lang w:val="en-US" w:eastAsia="zh-CN"/>
        </w:rPr>
        <w:t>5</w:t>
      </w:r>
      <w:r>
        <w:rPr>
          <w:rFonts w:hint="eastAsia" w:ascii="宋体" w:hAnsi="宋体" w:cs="宋体"/>
          <w:szCs w:val="21"/>
        </w:rPr>
        <w:t>.付款方式：</w:t>
      </w:r>
    </w:p>
    <w:p w14:paraId="2CE32326">
      <w:pPr>
        <w:spacing w:line="360" w:lineRule="exact"/>
        <w:ind w:firstLine="420" w:firstLineChars="200"/>
        <w:rPr>
          <w:rFonts w:hint="eastAsia" w:ascii="宋体" w:hAnsi="宋体" w:cs="宋体"/>
          <w:szCs w:val="21"/>
          <w:highlight w:val="none"/>
        </w:rPr>
      </w:pPr>
      <w:r>
        <w:rPr>
          <w:rFonts w:hint="eastAsia" w:ascii="宋体" w:hAnsi="宋体" w:cs="宋体"/>
          <w:szCs w:val="21"/>
        </w:rPr>
        <w:t>经甲方确认检测结果</w:t>
      </w:r>
      <w:r>
        <w:rPr>
          <w:rFonts w:hint="eastAsia" w:ascii="宋体" w:hAnsi="宋体" w:cs="宋体"/>
          <w:szCs w:val="21"/>
          <w:highlight w:val="none"/>
        </w:rPr>
        <w:t>无异议后，</w:t>
      </w:r>
      <w:r>
        <w:rPr>
          <w:rFonts w:hint="eastAsia" w:ascii="宋体" w:hAnsi="宋体" w:cs="宋体"/>
          <w:szCs w:val="21"/>
          <w:highlight w:val="none"/>
          <w:lang w:val="en-US" w:eastAsia="zh-CN"/>
        </w:rPr>
        <w:t>每半年支付一次服务费用</w:t>
      </w:r>
      <w:r>
        <w:rPr>
          <w:rFonts w:hint="eastAsia" w:ascii="宋体" w:hAnsi="宋体" w:cs="宋体"/>
          <w:szCs w:val="21"/>
          <w:highlight w:val="none"/>
        </w:rPr>
        <w:t>。</w:t>
      </w:r>
    </w:p>
    <w:p w14:paraId="608E69E2">
      <w:pPr>
        <w:adjustRightInd w:val="0"/>
        <w:snapToGrid w:val="0"/>
        <w:spacing w:line="360" w:lineRule="exact"/>
        <w:ind w:firstLine="426" w:firstLineChars="202"/>
        <w:rPr>
          <w:rFonts w:hint="eastAsia" w:ascii="宋体" w:hAnsi="宋体" w:cs="宋体"/>
          <w:b/>
          <w:szCs w:val="21"/>
          <w:highlight w:val="none"/>
        </w:rPr>
      </w:pPr>
      <w:r>
        <w:rPr>
          <w:rFonts w:hint="eastAsia" w:ascii="宋体" w:hAnsi="宋体" w:cs="宋体"/>
          <w:b/>
          <w:szCs w:val="21"/>
          <w:highlight w:val="none"/>
        </w:rPr>
        <w:t>第六条 违约责任及考核</w:t>
      </w:r>
    </w:p>
    <w:p w14:paraId="2F8AA258">
      <w:pPr>
        <w:adjustRightInd w:val="0"/>
        <w:snapToGrid w:val="0"/>
        <w:spacing w:line="360" w:lineRule="exact"/>
        <w:ind w:firstLine="426" w:firstLineChars="202"/>
        <w:rPr>
          <w:rFonts w:hint="eastAsia" w:ascii="宋体" w:hAnsi="宋体" w:cs="宋体"/>
          <w:b/>
          <w:szCs w:val="21"/>
          <w:highlight w:val="none"/>
        </w:rPr>
      </w:pPr>
      <w:r>
        <w:rPr>
          <w:rFonts w:hint="eastAsia" w:ascii="宋体" w:hAnsi="宋体" w:cs="宋体"/>
          <w:b/>
          <w:szCs w:val="21"/>
          <w:highlight w:val="none"/>
        </w:rPr>
        <w:t>（一）违约责任</w:t>
      </w:r>
    </w:p>
    <w:p w14:paraId="60E73BB1">
      <w:pPr>
        <w:spacing w:line="360" w:lineRule="exact"/>
        <w:ind w:firstLine="420" w:firstLineChars="200"/>
        <w:rPr>
          <w:rFonts w:hint="eastAsia" w:ascii="宋体" w:hAnsi="宋体" w:cs="宋体"/>
          <w:szCs w:val="20"/>
          <w:highlight w:val="none"/>
        </w:rPr>
      </w:pPr>
      <w:r>
        <w:rPr>
          <w:rFonts w:hint="eastAsia" w:ascii="宋体" w:hAnsi="宋体" w:cs="宋体"/>
          <w:highlight w:val="none"/>
        </w:rPr>
        <w:t>1.如乙方不能</w:t>
      </w:r>
      <w:r>
        <w:rPr>
          <w:rFonts w:hint="eastAsia" w:ascii="宋体" w:hAnsi="宋体" w:cs="宋体"/>
          <w:szCs w:val="21"/>
          <w:highlight w:val="none"/>
        </w:rPr>
        <w:t>按约定进行服务的，</w:t>
      </w:r>
      <w:r>
        <w:rPr>
          <w:rFonts w:hint="eastAsia" w:ascii="宋体" w:hAnsi="宋体" w:cs="宋体"/>
          <w:highlight w:val="none"/>
        </w:rPr>
        <w:t>甲方有权解除合同，同时有权要求乙方按照合同总价5%的标准支付违约金，解除合同的通知自发出之日生效。</w:t>
      </w:r>
    </w:p>
    <w:p w14:paraId="4BB0FAAD">
      <w:pPr>
        <w:spacing w:line="360" w:lineRule="exact"/>
        <w:ind w:firstLine="420" w:firstLineChars="200"/>
        <w:rPr>
          <w:rFonts w:hint="eastAsia" w:ascii="宋体" w:hAnsi="宋体" w:cs="宋体"/>
          <w:highlight w:val="none"/>
        </w:rPr>
      </w:pPr>
      <w:r>
        <w:rPr>
          <w:rFonts w:hint="eastAsia" w:ascii="宋体" w:hAnsi="宋体" w:cs="宋体"/>
          <w:highlight w:val="none"/>
        </w:rPr>
        <w:t>2.甲方未按合同规定的期限向乙方支付货款的，每逾期1天甲方向乙方偿付欠款总额的5‰滞纳金，但累计滞纳金总额不超过欠款总额的5% 。</w:t>
      </w:r>
    </w:p>
    <w:p w14:paraId="1C5D9847">
      <w:pPr>
        <w:spacing w:line="360" w:lineRule="exact"/>
        <w:ind w:firstLine="420" w:firstLineChars="200"/>
        <w:rPr>
          <w:rFonts w:hint="eastAsia" w:ascii="宋体" w:hAnsi="宋体" w:cs="宋体"/>
          <w:highlight w:val="none"/>
        </w:rPr>
      </w:pPr>
      <w:r>
        <w:rPr>
          <w:rFonts w:hint="eastAsia" w:ascii="宋体" w:hAnsi="宋体" w:cs="宋体"/>
          <w:highlight w:val="none"/>
        </w:rPr>
        <w:t>3.乙方未按本合同的规定和“服务承诺”提供伴随服务的，甲方有权提前解除本合同，同时乙方应按合同总价款的5%向甲方承担违约责任。</w:t>
      </w:r>
    </w:p>
    <w:p w14:paraId="6C7BBD4D">
      <w:pPr>
        <w:spacing w:line="360" w:lineRule="exact"/>
        <w:ind w:firstLine="420" w:firstLineChars="200"/>
        <w:rPr>
          <w:rFonts w:hint="eastAsia" w:ascii="宋体" w:hAnsi="宋体" w:cs="宋体"/>
          <w:highlight w:val="none"/>
        </w:rPr>
      </w:pPr>
      <w:r>
        <w:rPr>
          <w:rFonts w:hint="eastAsia" w:ascii="宋体" w:hAnsi="宋体" w:cs="宋体"/>
          <w:highlight w:val="none"/>
        </w:rPr>
        <w:t>4.乙方在承担上述一项或多项违约责任后，仍应继续履行合同规定的义务（甲方解除合同的除外）。甲方未能及时追究乙方的任何一项违约责任并不表明甲方放弃追究乙方该项或其他违约责任。</w:t>
      </w:r>
    </w:p>
    <w:p w14:paraId="1F6D11C7">
      <w:pPr>
        <w:spacing w:line="360" w:lineRule="exact"/>
        <w:ind w:firstLine="420" w:firstLineChars="200"/>
        <w:rPr>
          <w:rFonts w:hint="eastAsia" w:ascii="宋体" w:hAnsi="宋体" w:cs="宋体"/>
          <w:highlight w:val="none"/>
        </w:rPr>
      </w:pPr>
      <w:r>
        <w:rPr>
          <w:rFonts w:hint="eastAsia" w:ascii="宋体" w:hAnsi="宋体" w:cs="宋体"/>
          <w:highlight w:val="none"/>
        </w:rPr>
        <w:t>5.乙方属虚假承诺，或是由于乙方的过错造成合同无法继续履行的，应向甲方支付不少于合同总价30%违约金，若该违约金不足以弥补甲方损失，则应当赔偿甲方所有损失。</w:t>
      </w:r>
    </w:p>
    <w:p w14:paraId="07823A21">
      <w:pPr>
        <w:snapToGrid w:val="0"/>
        <w:spacing w:line="360" w:lineRule="exact"/>
        <w:ind w:firstLine="420" w:firstLineChars="200"/>
        <w:rPr>
          <w:rFonts w:hint="eastAsia" w:ascii="宋体" w:hAnsi="宋体" w:cs="宋体"/>
          <w:highlight w:val="none"/>
        </w:rPr>
      </w:pPr>
      <w:r>
        <w:rPr>
          <w:rFonts w:hint="eastAsia" w:ascii="宋体" w:hAnsi="宋体" w:cs="宋体"/>
          <w:highlight w:val="none"/>
        </w:rPr>
        <w:t>6.因乙方原因造成的检测程序违法、检测结果错误，由此造成甲方在行政复议中被确认违法或行政诉讼败诉，乙方应当承担相关法律责任，包括赔偿甲方损失、支付违约金等，违约金为5万元/批次起。</w:t>
      </w:r>
    </w:p>
    <w:p w14:paraId="713F8CAA">
      <w:pPr>
        <w:snapToGrid w:val="0"/>
        <w:spacing w:line="360" w:lineRule="exact"/>
        <w:ind w:firstLine="420" w:firstLineChars="200"/>
        <w:rPr>
          <w:rFonts w:hint="eastAsia" w:ascii="宋体" w:hAnsi="宋体" w:cs="宋体"/>
          <w:highlight w:val="none"/>
        </w:rPr>
      </w:pPr>
      <w:r>
        <w:rPr>
          <w:rFonts w:hint="eastAsia" w:ascii="宋体" w:hAnsi="宋体" w:cs="宋体"/>
          <w:highlight w:val="none"/>
        </w:rPr>
        <w:t>7.若乙方的工作未达到本次磋商文件要求的（例如：服务响应时间超过招标规定时间要求的），甲方有权要求乙方进行整改，如整改后仍达不到要求的甲方有权要求立即终止合同，并有权追究其违约责任。</w:t>
      </w:r>
    </w:p>
    <w:p w14:paraId="1ED5A8B0">
      <w:pPr>
        <w:adjustRightInd w:val="0"/>
        <w:snapToGrid w:val="0"/>
        <w:spacing w:line="360" w:lineRule="exact"/>
        <w:ind w:firstLine="424" w:firstLineChars="202"/>
        <w:rPr>
          <w:rFonts w:hint="eastAsia" w:ascii="宋体" w:hAnsi="宋体" w:cs="宋体"/>
          <w:highlight w:val="none"/>
        </w:rPr>
      </w:pPr>
      <w:r>
        <w:rPr>
          <w:rFonts w:hint="eastAsia" w:ascii="宋体" w:hAnsi="宋体" w:cs="宋体"/>
          <w:highlight w:val="none"/>
        </w:rPr>
        <w:t>8.若国家局、省局以及其他上级部门对服务内容提出新的要求的，乙方应当按照要求履行。无故拒不履行的甲方有权终止合同,并有权追究其违约责任。</w:t>
      </w:r>
    </w:p>
    <w:p w14:paraId="01C45799">
      <w:pPr>
        <w:snapToGrid w:val="0"/>
        <w:spacing w:line="360" w:lineRule="exact"/>
        <w:ind w:firstLine="422" w:firstLineChars="200"/>
        <w:rPr>
          <w:rFonts w:hint="eastAsia" w:ascii="宋体" w:hAnsi="宋体" w:cs="宋体"/>
          <w:b/>
          <w:szCs w:val="21"/>
          <w:highlight w:val="none"/>
        </w:rPr>
      </w:pPr>
      <w:r>
        <w:rPr>
          <w:rFonts w:hint="eastAsia" w:ascii="宋体" w:hAnsi="宋体" w:cs="宋体"/>
          <w:b/>
          <w:highlight w:val="none"/>
        </w:rPr>
        <w:t>（二）</w:t>
      </w:r>
      <w:r>
        <w:rPr>
          <w:rFonts w:hint="eastAsia" w:ascii="宋体" w:hAnsi="宋体" w:cs="宋体"/>
          <w:b/>
          <w:szCs w:val="21"/>
          <w:highlight w:val="none"/>
        </w:rPr>
        <w:t>服务考核</w:t>
      </w:r>
    </w:p>
    <w:p w14:paraId="21292D72">
      <w:pPr>
        <w:snapToGrid w:val="0"/>
        <w:spacing w:line="360" w:lineRule="exact"/>
        <w:ind w:firstLine="420" w:firstLineChars="200"/>
        <w:rPr>
          <w:rFonts w:hint="eastAsia" w:ascii="宋体" w:hAnsi="宋体" w:cs="宋体"/>
          <w:bCs/>
          <w:szCs w:val="21"/>
          <w:highlight w:val="none"/>
        </w:rPr>
      </w:pPr>
      <w:r>
        <w:rPr>
          <w:rFonts w:hint="eastAsia" w:ascii="宋体" w:hAnsi="宋体" w:cs="宋体"/>
          <w:bCs/>
          <w:szCs w:val="21"/>
          <w:highlight w:val="none"/>
        </w:rPr>
        <w:t>1.食品国抽系统数据质量被国家总局、省局或市局（三家中有一家）通报的；每有一起，扣除结算价的</w:t>
      </w:r>
      <w:r>
        <w:rPr>
          <w:rFonts w:hint="eastAsia" w:ascii="宋体" w:hAnsi="宋体" w:cs="宋体"/>
          <w:bCs/>
          <w:szCs w:val="21"/>
          <w:highlight w:val="none"/>
          <w:lang w:val="en-US" w:eastAsia="zh-CN"/>
        </w:rPr>
        <w:t>5</w:t>
      </w:r>
      <w:r>
        <w:rPr>
          <w:rFonts w:hint="eastAsia" w:ascii="宋体" w:hAnsi="宋体" w:cs="宋体"/>
          <w:bCs/>
          <w:szCs w:val="21"/>
          <w:highlight w:val="none"/>
        </w:rPr>
        <w:t>%。</w:t>
      </w:r>
    </w:p>
    <w:p w14:paraId="2CBAE913">
      <w:pPr>
        <w:snapToGrid w:val="0"/>
        <w:spacing w:line="360" w:lineRule="exact"/>
        <w:ind w:firstLine="420" w:firstLineChars="200"/>
        <w:rPr>
          <w:rFonts w:hint="eastAsia" w:ascii="宋体" w:hAnsi="宋体" w:cs="宋体"/>
          <w:bCs/>
          <w:szCs w:val="21"/>
          <w:highlight w:val="none"/>
        </w:rPr>
      </w:pPr>
      <w:r>
        <w:rPr>
          <w:rFonts w:hint="eastAsia" w:ascii="宋体" w:hAnsi="宋体" w:cs="宋体"/>
          <w:bCs/>
          <w:szCs w:val="21"/>
          <w:highlight w:val="none"/>
          <w:lang w:val="en-US" w:eastAsia="zh-CN"/>
        </w:rPr>
        <w:t>2.</w:t>
      </w:r>
      <w:r>
        <w:rPr>
          <w:rFonts w:hint="eastAsia" w:ascii="宋体" w:hAnsi="宋体" w:cs="宋体"/>
          <w:bCs/>
          <w:szCs w:val="21"/>
          <w:highlight w:val="none"/>
        </w:rPr>
        <w:t>复检异议推翻1次扣除结算价</w:t>
      </w:r>
      <w:r>
        <w:rPr>
          <w:rFonts w:hint="eastAsia" w:ascii="宋体" w:hAnsi="宋体" w:cs="宋体"/>
          <w:bCs/>
          <w:szCs w:val="21"/>
          <w:highlight w:val="none"/>
          <w:lang w:val="en-US" w:eastAsia="zh-CN"/>
        </w:rPr>
        <w:t>的</w:t>
      </w:r>
      <w:r>
        <w:rPr>
          <w:rFonts w:hint="eastAsia" w:ascii="宋体" w:hAnsi="宋体" w:cs="宋体"/>
          <w:bCs/>
          <w:szCs w:val="21"/>
          <w:highlight w:val="none"/>
        </w:rPr>
        <w:t>1%；</w:t>
      </w:r>
      <w:r>
        <w:rPr>
          <w:rFonts w:hint="eastAsia" w:ascii="宋体" w:hAnsi="宋体" w:cs="宋体"/>
          <w:bCs/>
          <w:szCs w:val="21"/>
          <w:highlight w:val="none"/>
          <w:lang w:val="en-US" w:eastAsia="zh-CN"/>
        </w:rPr>
        <w:t>最高扣除结算价的</w:t>
      </w:r>
      <w:r>
        <w:rPr>
          <w:rFonts w:hint="eastAsia" w:ascii="宋体" w:hAnsi="宋体" w:cs="宋体"/>
          <w:bCs/>
          <w:szCs w:val="21"/>
          <w:highlight w:val="none"/>
        </w:rPr>
        <w:t>10%。</w:t>
      </w:r>
    </w:p>
    <w:p w14:paraId="2489E07E">
      <w:pPr>
        <w:snapToGrid w:val="0"/>
        <w:spacing w:line="360" w:lineRule="exact"/>
        <w:ind w:firstLine="420" w:firstLineChars="200"/>
        <w:rPr>
          <w:rFonts w:hint="eastAsia" w:ascii="宋体" w:hAnsi="宋体" w:cs="宋体"/>
          <w:bCs/>
          <w:szCs w:val="21"/>
        </w:rPr>
      </w:pPr>
      <w:r>
        <w:rPr>
          <w:rFonts w:hint="eastAsia" w:ascii="宋体" w:hAnsi="宋体" w:cs="宋体"/>
          <w:bCs/>
          <w:szCs w:val="21"/>
          <w:lang w:val="en-US" w:eastAsia="zh-CN"/>
        </w:rPr>
        <w:t>3</w:t>
      </w:r>
      <w:r>
        <w:rPr>
          <w:rFonts w:hint="eastAsia" w:ascii="宋体" w:hAnsi="宋体" w:cs="宋体"/>
          <w:bCs/>
          <w:szCs w:val="21"/>
        </w:rPr>
        <w:t>.甲方在当年年末按照《202</w:t>
      </w:r>
      <w:r>
        <w:rPr>
          <w:rFonts w:hint="eastAsia" w:ascii="宋体" w:hAnsi="宋体" w:cs="宋体"/>
          <w:bCs/>
          <w:szCs w:val="21"/>
          <w:lang w:val="en-US" w:eastAsia="zh-CN"/>
        </w:rPr>
        <w:t>6</w:t>
      </w:r>
      <w:r>
        <w:rPr>
          <w:rFonts w:hint="eastAsia" w:ascii="宋体" w:hAnsi="宋体" w:cs="宋体"/>
          <w:bCs/>
          <w:szCs w:val="21"/>
        </w:rPr>
        <w:t>年常州经济开发区食品安全抽检项目承检单位绩效考核评价细则》对乙方进行考核，若考核分数低于80分,甲方有权要求立即终止合同,乙方未完成批次,甲方有权交由其他供应商完成。</w:t>
      </w:r>
    </w:p>
    <w:p w14:paraId="0AF904EF">
      <w:pPr>
        <w:adjustRightInd w:val="0"/>
        <w:snapToGrid w:val="0"/>
        <w:spacing w:line="360" w:lineRule="exact"/>
        <w:ind w:firstLine="424" w:firstLineChars="202"/>
        <w:rPr>
          <w:rFonts w:hint="eastAsia" w:ascii="宋体" w:hAnsi="宋体" w:cs="宋体"/>
          <w:szCs w:val="20"/>
        </w:rPr>
      </w:pPr>
      <w:r>
        <w:rPr>
          <w:rFonts w:hint="eastAsia" w:ascii="宋体" w:hAnsi="宋体" w:cs="宋体"/>
        </w:rPr>
        <w:t>其他未尽事宜，以《民法典》等有关法律法规规定为准，无相关规定的，双方协商解决。</w:t>
      </w:r>
    </w:p>
    <w:p w14:paraId="3DC4C98D">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第七条 合同的变更和终止</w:t>
      </w:r>
    </w:p>
    <w:p w14:paraId="23BEF0E7">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1.本合同一经签订，甲乙双方不得擅自变更、中止或终止合同。</w:t>
      </w:r>
    </w:p>
    <w:p w14:paraId="07137B59">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2.除发生法律规定的不能预见、不能避免并不能克服的客观情况外，甲乙双方不得放弃或拒绝履行合同。</w:t>
      </w:r>
    </w:p>
    <w:p w14:paraId="694BC5EF">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第八条 合同的转让</w:t>
      </w:r>
    </w:p>
    <w:p w14:paraId="426BD8FE">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乙方不得擅自部分或全部转让其应履行的合同义务。</w:t>
      </w:r>
    </w:p>
    <w:p w14:paraId="223DBCE3">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第九条 不可抗力</w:t>
      </w:r>
    </w:p>
    <w:p w14:paraId="0CE5D673">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p>
    <w:p w14:paraId="301694CE">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第十条 争议的解决</w:t>
      </w:r>
    </w:p>
    <w:p w14:paraId="4A526806">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1.因履行本合同引起的或与本合同有关的争议，甲、乙双方应首先通过友好协商解决，如果协商不能解决争议，则采取以下第</w:t>
      </w:r>
      <w:r>
        <w:rPr>
          <w:rFonts w:hint="eastAsia" w:ascii="宋体" w:hAnsi="宋体" w:cs="宋体"/>
          <w:szCs w:val="21"/>
          <w:u w:val="single"/>
        </w:rPr>
        <w:t>（ ）</w:t>
      </w:r>
      <w:r>
        <w:rPr>
          <w:rFonts w:hint="eastAsia" w:ascii="宋体" w:hAnsi="宋体" w:cs="宋体"/>
          <w:szCs w:val="21"/>
        </w:rPr>
        <w:t>种方式解决争议：</w:t>
      </w:r>
    </w:p>
    <w:p w14:paraId="564BC40B">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（1）向甲方所在地人民法院提起诉讼；</w:t>
      </w:r>
    </w:p>
    <w:p w14:paraId="62F261FF">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（2）向甲方所在地仲裁委员会按其仲裁规则申请仲裁。</w:t>
      </w:r>
    </w:p>
    <w:p w14:paraId="6E643AA2">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如没有约定，默认采取第2种方式解决争议。</w:t>
      </w:r>
    </w:p>
    <w:p w14:paraId="7AF9CC65">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2.在法院审理和仲裁期间，除有争议部分外，本合同其他部分应继续履行。</w:t>
      </w:r>
    </w:p>
    <w:p w14:paraId="3A12DBAC">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 xml:space="preserve">第十一条 诚实信用 </w:t>
      </w:r>
    </w:p>
    <w:p w14:paraId="2796D0D0">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乙方应诚实信用，严格按照竞争性磋商文件要求和磋商承诺履行合同，不向甲方进行商业贿赂或者提供不正当利益。</w:t>
      </w:r>
    </w:p>
    <w:p w14:paraId="77D165D3">
      <w:pPr>
        <w:adjustRightInd w:val="0"/>
        <w:snapToGrid w:val="0"/>
        <w:spacing w:line="360" w:lineRule="exact"/>
        <w:ind w:firstLine="426" w:firstLineChars="202"/>
        <w:rPr>
          <w:rFonts w:hint="eastAsia" w:ascii="宋体" w:hAnsi="宋体" w:cs="宋体"/>
          <w:b/>
          <w:szCs w:val="21"/>
        </w:rPr>
      </w:pPr>
      <w:r>
        <w:rPr>
          <w:rFonts w:hint="eastAsia" w:ascii="宋体" w:hAnsi="宋体" w:cs="宋体"/>
          <w:b/>
          <w:szCs w:val="21"/>
        </w:rPr>
        <w:t>第十二条 合同生效及其他</w:t>
      </w:r>
    </w:p>
    <w:p w14:paraId="4FD93787">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1.本合同自经甲乙双方授权代表签订并加盖公章后，自签订之日起生效。</w:t>
      </w:r>
    </w:p>
    <w:p w14:paraId="1E06BC04">
      <w:pPr>
        <w:adjustRightInd w:val="0"/>
        <w:snapToGrid w:val="0"/>
        <w:spacing w:line="360" w:lineRule="exact"/>
        <w:ind w:firstLine="424" w:firstLineChars="202"/>
        <w:rPr>
          <w:rFonts w:hint="eastAsia" w:ascii="宋体" w:hAnsi="宋体" w:cs="宋体"/>
          <w:szCs w:val="21"/>
        </w:rPr>
      </w:pPr>
      <w:r>
        <w:rPr>
          <w:rFonts w:hint="eastAsia" w:ascii="宋体" w:hAnsi="宋体" w:cs="宋体"/>
          <w:szCs w:val="21"/>
        </w:rPr>
        <w:t>2.本合同一式伍份，甲乙双方各执贰份，代理机构执壹份存档。</w:t>
      </w:r>
    </w:p>
    <w:p w14:paraId="61310FB5">
      <w:pPr>
        <w:spacing w:line="360" w:lineRule="exact"/>
        <w:ind w:firstLine="424" w:firstLineChars="202"/>
        <w:rPr>
          <w:rFonts w:hint="eastAsia" w:ascii="宋体" w:hAnsi="宋体" w:cs="宋体"/>
          <w:szCs w:val="21"/>
        </w:rPr>
      </w:pPr>
      <w:r>
        <w:rPr>
          <w:rFonts w:hint="eastAsia" w:ascii="宋体" w:hAnsi="宋体" w:cs="宋体"/>
          <w:szCs w:val="21"/>
        </w:rPr>
        <w:t>3.本合同应按照中华人民共和国的现行法律进行解释。</w:t>
      </w:r>
    </w:p>
    <w:p w14:paraId="472ABB0B">
      <w:pPr>
        <w:spacing w:line="400" w:lineRule="exact"/>
        <w:jc w:val="left"/>
        <w:rPr>
          <w:rFonts w:hint="eastAsia" w:ascii="宋体" w:hAnsi="宋体" w:cs="宋体"/>
          <w:szCs w:val="21"/>
        </w:rPr>
      </w:pPr>
      <w:r>
        <w:rPr>
          <w:rFonts w:hint="eastAsia" w:ascii="宋体" w:hAnsi="宋体" w:cs="宋体"/>
          <w:b/>
          <w:bCs/>
          <w:szCs w:val="21"/>
        </w:rPr>
        <w:t>甲    方</w:t>
      </w:r>
      <w:r>
        <w:rPr>
          <w:rFonts w:hint="eastAsia" w:ascii="宋体" w:hAnsi="宋体" w:cs="宋体"/>
          <w:szCs w:val="21"/>
        </w:rPr>
        <w:t xml:space="preserve">：                               </w:t>
      </w:r>
      <w:r>
        <w:rPr>
          <w:rFonts w:hint="eastAsia" w:ascii="宋体" w:hAnsi="宋体" w:cs="宋体"/>
          <w:b/>
          <w:bCs/>
          <w:szCs w:val="21"/>
        </w:rPr>
        <w:t>乙    方</w:t>
      </w:r>
      <w:r>
        <w:rPr>
          <w:rFonts w:hint="eastAsia" w:ascii="宋体" w:hAnsi="宋体" w:cs="宋体"/>
          <w:szCs w:val="21"/>
        </w:rPr>
        <w:t>：</w:t>
      </w:r>
    </w:p>
    <w:p w14:paraId="0BA5688E">
      <w:pPr>
        <w:spacing w:line="400" w:lineRule="exact"/>
        <w:rPr>
          <w:rFonts w:hint="eastAsia" w:ascii="宋体" w:hAnsi="宋体" w:cs="宋体"/>
          <w:szCs w:val="21"/>
          <w:u w:val="single"/>
        </w:rPr>
      </w:pPr>
      <w:r>
        <w:rPr>
          <w:rFonts w:hint="eastAsia" w:ascii="宋体" w:hAnsi="宋体" w:cs="宋体"/>
          <w:szCs w:val="21"/>
        </w:rPr>
        <w:t>单位名称（章）：                          单位名称（章）：</w:t>
      </w:r>
    </w:p>
    <w:p w14:paraId="2FB0F6CD">
      <w:pPr>
        <w:spacing w:line="400" w:lineRule="exact"/>
        <w:rPr>
          <w:rFonts w:hint="eastAsia" w:ascii="宋体" w:hAnsi="宋体" w:cs="宋体"/>
          <w:szCs w:val="21"/>
          <w:u w:val="single"/>
        </w:rPr>
      </w:pPr>
      <w:r>
        <w:rPr>
          <w:rFonts w:hint="eastAsia" w:ascii="宋体" w:hAnsi="宋体" w:cs="宋体"/>
          <w:szCs w:val="21"/>
        </w:rPr>
        <w:t>单位地址：                               单位地址：</w:t>
      </w:r>
    </w:p>
    <w:p w14:paraId="6329356C">
      <w:pPr>
        <w:spacing w:line="400" w:lineRule="exact"/>
        <w:rPr>
          <w:rFonts w:hint="eastAsia" w:ascii="宋体" w:hAnsi="宋体" w:cs="宋体"/>
          <w:szCs w:val="21"/>
        </w:rPr>
      </w:pPr>
      <w:r>
        <w:rPr>
          <w:rFonts w:hint="eastAsia" w:ascii="宋体" w:hAnsi="宋体" w:cs="宋体"/>
          <w:szCs w:val="21"/>
        </w:rPr>
        <w:t xml:space="preserve">法定代表人：       委托代理人：          法定代表人：     委托代理人：                            </w:t>
      </w:r>
    </w:p>
    <w:p w14:paraId="28D8BB54">
      <w:pPr>
        <w:spacing w:line="400" w:lineRule="exact"/>
        <w:rPr>
          <w:rFonts w:hint="eastAsia" w:ascii="宋体" w:hAnsi="宋体" w:cs="宋体"/>
          <w:szCs w:val="21"/>
        </w:rPr>
      </w:pPr>
      <w:r>
        <w:rPr>
          <w:rFonts w:hint="eastAsia" w:ascii="宋体" w:hAnsi="宋体" w:cs="宋体"/>
          <w:szCs w:val="21"/>
        </w:rPr>
        <w:t>电话：                                   电话：            传真：</w:t>
      </w:r>
    </w:p>
    <w:p w14:paraId="425BCDCB">
      <w:pPr>
        <w:spacing w:line="400" w:lineRule="exact"/>
        <w:rPr>
          <w:rFonts w:hint="eastAsia" w:ascii="宋体" w:hAnsi="宋体" w:cs="宋体"/>
          <w:szCs w:val="21"/>
        </w:rPr>
      </w:pPr>
      <w:r>
        <w:rPr>
          <w:rFonts w:hint="eastAsia" w:ascii="宋体" w:hAnsi="宋体" w:cs="宋体"/>
          <w:szCs w:val="21"/>
        </w:rPr>
        <w:t xml:space="preserve">传真：                                   开户银行：        帐号：     </w:t>
      </w:r>
    </w:p>
    <w:p w14:paraId="5A568CFF">
      <w:pPr>
        <w:spacing w:line="400" w:lineRule="exact"/>
        <w:rPr>
          <w:rFonts w:ascii="宋体" w:hAnsi="宋体" w:cs="宋体"/>
          <w:bCs/>
          <w:sz w:val="24"/>
        </w:rPr>
      </w:pPr>
      <w:r>
        <w:rPr>
          <w:rFonts w:hint="eastAsia" w:ascii="宋体" w:hAnsi="宋体" w:cs="宋体"/>
          <w:sz w:val="24"/>
        </w:rPr>
        <w:t xml:space="preserve"> </w:t>
      </w:r>
      <w:r>
        <w:rPr>
          <w:rFonts w:ascii="宋体" w:hAnsi="宋体" w:cs="等线"/>
          <w:sz w:val="24"/>
        </w:rPr>
        <w:t>★.备注：甲乙双方必须以本格式文本拟订合同。</w:t>
      </w:r>
      <w:r>
        <w:rPr>
          <w:rFonts w:ascii="宋体" w:hAnsi="宋体" w:cs="宋体"/>
          <w:bCs/>
          <w:sz w:val="24"/>
        </w:rPr>
        <w:t xml:space="preserve"> </w:t>
      </w:r>
      <w:bookmarkStart w:id="455" w:name="_Toc17536326"/>
    </w:p>
    <w:bookmarkEnd w:id="455"/>
    <w:p w14:paraId="5723C1A4">
      <w:pPr>
        <w:adjustRightInd w:val="0"/>
        <w:snapToGrid w:val="0"/>
        <w:spacing w:line="360" w:lineRule="exact"/>
        <w:rPr>
          <w:rFonts w:ascii="宋体" w:hAnsi="宋体" w:cs="宋体"/>
          <w:b/>
          <w:szCs w:val="21"/>
        </w:rPr>
      </w:pPr>
      <w:r>
        <w:rPr>
          <w:b/>
          <w:sz w:val="24"/>
        </w:rPr>
        <w:br w:type="page"/>
      </w:r>
      <w:r>
        <w:rPr>
          <w:rFonts w:hint="eastAsia" w:ascii="宋体" w:hAnsi="宋体" w:cs="宋体"/>
          <w:b/>
          <w:szCs w:val="21"/>
        </w:rPr>
        <w:t>附件1：</w:t>
      </w:r>
      <w:r>
        <w:rPr>
          <w:rFonts w:hint="eastAsia" w:ascii="宋体" w:hAnsi="宋体" w:cs="宋体"/>
          <w:b/>
          <w:bCs/>
          <w:szCs w:val="21"/>
        </w:rPr>
        <w:t>食品</w:t>
      </w:r>
      <w:r>
        <w:rPr>
          <w:rFonts w:hint="eastAsia" w:ascii="宋体" w:hAnsi="宋体" w:cs="宋体"/>
          <w:b/>
          <w:szCs w:val="21"/>
        </w:rPr>
        <w:t>安全抽样检验工作委托书</w:t>
      </w:r>
    </w:p>
    <w:p w14:paraId="37BFCA7A">
      <w:pPr>
        <w:adjustRightInd w:val="0"/>
        <w:snapToGrid w:val="0"/>
        <w:spacing w:line="360" w:lineRule="exact"/>
        <w:jc w:val="center"/>
        <w:rPr>
          <w:rFonts w:hint="eastAsia" w:ascii="宋体" w:hAnsi="宋体" w:cs="宋体"/>
          <w:b/>
          <w:szCs w:val="21"/>
        </w:rPr>
      </w:pPr>
    </w:p>
    <w:p w14:paraId="768A0F4C">
      <w:pPr>
        <w:jc w:val="center"/>
        <w:rPr>
          <w:b/>
          <w:bCs/>
          <w:szCs w:val="21"/>
        </w:rPr>
      </w:pPr>
      <w:r>
        <w:rPr>
          <w:rFonts w:hint="eastAsia"/>
          <w:b/>
          <w:bCs/>
          <w:szCs w:val="21"/>
        </w:rPr>
        <w:t>食品安全抽样检验任务委托书</w:t>
      </w:r>
    </w:p>
    <w:p w14:paraId="45A5A566">
      <w:pPr>
        <w:jc w:val="center"/>
        <w:rPr>
          <w:b/>
          <w:bCs/>
          <w:szCs w:val="21"/>
        </w:rPr>
      </w:pPr>
    </w:p>
    <w:tbl>
      <w:tblPr>
        <w:tblStyle w:val="49"/>
        <w:tblW w:w="4998" w:type="pct"/>
        <w:tblInd w:w="0" w:type="dxa"/>
        <w:tblLayout w:type="autofit"/>
        <w:tblCellMar>
          <w:top w:w="0" w:type="dxa"/>
          <w:left w:w="108" w:type="dxa"/>
          <w:bottom w:w="0" w:type="dxa"/>
          <w:right w:w="108" w:type="dxa"/>
        </w:tblCellMar>
      </w:tblPr>
      <w:tblGrid>
        <w:gridCol w:w="1134"/>
        <w:gridCol w:w="1689"/>
        <w:gridCol w:w="819"/>
        <w:gridCol w:w="1618"/>
        <w:gridCol w:w="3252"/>
      </w:tblGrid>
      <w:tr w14:paraId="0D08DC18">
        <w:tblPrEx>
          <w:tblCellMar>
            <w:top w:w="0" w:type="dxa"/>
            <w:left w:w="108" w:type="dxa"/>
            <w:bottom w:w="0" w:type="dxa"/>
            <w:right w:w="108" w:type="dxa"/>
          </w:tblCellMar>
        </w:tblPrEx>
        <w:trPr>
          <w:trHeight w:val="560" w:hRule="atLeast"/>
        </w:trPr>
        <w:tc>
          <w:tcPr>
            <w:tcW w:w="66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ABF4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存根</w:t>
            </w:r>
          </w:p>
        </w:tc>
        <w:tc>
          <w:tcPr>
            <w:tcW w:w="9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F98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编号</w:t>
            </w:r>
          </w:p>
        </w:tc>
        <w:tc>
          <w:tcPr>
            <w:tcW w:w="334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3AF5">
            <w:pPr>
              <w:jc w:val="center"/>
              <w:rPr>
                <w:rFonts w:ascii="宋体" w:hAnsi="宋体" w:cs="宋体"/>
                <w:color w:val="000000"/>
                <w:szCs w:val="21"/>
              </w:rPr>
            </w:pPr>
          </w:p>
        </w:tc>
      </w:tr>
      <w:tr w14:paraId="2BD1ACF1">
        <w:tblPrEx>
          <w:tblCellMar>
            <w:top w:w="0" w:type="dxa"/>
            <w:left w:w="108" w:type="dxa"/>
            <w:bottom w:w="0" w:type="dxa"/>
            <w:right w:w="108" w:type="dxa"/>
          </w:tblCellMar>
        </w:tblPrEx>
        <w:trPr>
          <w:trHeight w:val="560"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C036">
            <w:pPr>
              <w:jc w:val="center"/>
              <w:rPr>
                <w:rFonts w:ascii="宋体" w:hAnsi="宋体" w:cs="宋体"/>
                <w:color w:val="000000"/>
                <w:szCs w:val="21"/>
              </w:rPr>
            </w:pPr>
          </w:p>
        </w:tc>
        <w:tc>
          <w:tcPr>
            <w:tcW w:w="9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0C4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委托事项</w:t>
            </w:r>
          </w:p>
        </w:tc>
        <w:tc>
          <w:tcPr>
            <w:tcW w:w="334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2D3A1">
            <w:pPr>
              <w:jc w:val="center"/>
              <w:rPr>
                <w:rFonts w:ascii="宋体" w:hAnsi="宋体" w:cs="宋体"/>
                <w:color w:val="000000"/>
                <w:szCs w:val="21"/>
              </w:rPr>
            </w:pPr>
          </w:p>
        </w:tc>
      </w:tr>
      <w:tr w14:paraId="67D8F257">
        <w:tblPrEx>
          <w:tblCellMar>
            <w:top w:w="0" w:type="dxa"/>
            <w:left w:w="108" w:type="dxa"/>
            <w:bottom w:w="0" w:type="dxa"/>
            <w:right w:w="108" w:type="dxa"/>
          </w:tblCellMar>
        </w:tblPrEx>
        <w:trPr>
          <w:trHeight w:val="560"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336CC">
            <w:pPr>
              <w:jc w:val="center"/>
              <w:rPr>
                <w:rFonts w:ascii="宋体" w:hAnsi="宋体" w:cs="宋体"/>
                <w:color w:val="000000"/>
                <w:szCs w:val="21"/>
              </w:rPr>
            </w:pPr>
          </w:p>
        </w:tc>
        <w:tc>
          <w:tcPr>
            <w:tcW w:w="9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A68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受委托单位</w:t>
            </w:r>
          </w:p>
        </w:tc>
        <w:tc>
          <w:tcPr>
            <w:tcW w:w="334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13D9">
            <w:pPr>
              <w:jc w:val="center"/>
              <w:rPr>
                <w:rFonts w:ascii="宋体" w:hAnsi="宋体" w:cs="宋体"/>
                <w:color w:val="000000"/>
                <w:szCs w:val="21"/>
              </w:rPr>
            </w:pPr>
          </w:p>
        </w:tc>
      </w:tr>
      <w:tr w14:paraId="4791D88A">
        <w:tblPrEx>
          <w:tblCellMar>
            <w:top w:w="0" w:type="dxa"/>
            <w:left w:w="108" w:type="dxa"/>
            <w:bottom w:w="0" w:type="dxa"/>
            <w:right w:w="108" w:type="dxa"/>
          </w:tblCellMar>
        </w:tblPrEx>
        <w:trPr>
          <w:trHeight w:val="560"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02B6">
            <w:pPr>
              <w:jc w:val="center"/>
              <w:rPr>
                <w:rFonts w:ascii="宋体" w:hAnsi="宋体" w:cs="宋体"/>
                <w:color w:val="000000"/>
                <w:szCs w:val="21"/>
              </w:rPr>
            </w:pPr>
          </w:p>
        </w:tc>
        <w:tc>
          <w:tcPr>
            <w:tcW w:w="99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334D3">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签发单位</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A140">
            <w:pPr>
              <w:jc w:val="center"/>
              <w:rPr>
                <w:rFonts w:ascii="宋体" w:hAnsi="宋体" w:cs="宋体"/>
                <w:color w:val="000000"/>
                <w:szCs w:val="21"/>
              </w:rPr>
            </w:pPr>
          </w:p>
        </w:tc>
        <w:tc>
          <w:tcPr>
            <w:tcW w:w="9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A2C0B">
            <w:pPr>
              <w:widowControl/>
              <w:jc w:val="left"/>
              <w:textAlignment w:val="center"/>
              <w:rPr>
                <w:rFonts w:ascii="宋体" w:hAnsi="宋体" w:cs="宋体"/>
                <w:color w:val="000000"/>
                <w:szCs w:val="21"/>
              </w:rPr>
            </w:pPr>
            <w:r>
              <w:rPr>
                <w:rFonts w:hint="eastAsia" w:ascii="宋体" w:hAnsi="宋体" w:cs="宋体"/>
                <w:color w:val="000000"/>
                <w:kern w:val="0"/>
                <w:szCs w:val="21"/>
                <w:lang w:bidi="ar"/>
              </w:rPr>
              <w:t>签发日期</w:t>
            </w:r>
          </w:p>
        </w:tc>
        <w:tc>
          <w:tcPr>
            <w:tcW w:w="19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CA10">
            <w:pPr>
              <w:jc w:val="center"/>
              <w:rPr>
                <w:rFonts w:ascii="宋体" w:hAnsi="宋体" w:cs="宋体"/>
                <w:color w:val="000000"/>
                <w:szCs w:val="21"/>
              </w:rPr>
            </w:pPr>
          </w:p>
        </w:tc>
      </w:tr>
      <w:tr w14:paraId="0EFFA889">
        <w:tblPrEx>
          <w:tblCellMar>
            <w:top w:w="0" w:type="dxa"/>
            <w:left w:w="108" w:type="dxa"/>
            <w:bottom w:w="0" w:type="dxa"/>
            <w:right w:w="108" w:type="dxa"/>
          </w:tblCellMar>
        </w:tblPrEx>
        <w:trPr>
          <w:trHeight w:val="560"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575B">
            <w:pPr>
              <w:jc w:val="center"/>
              <w:rPr>
                <w:rFonts w:ascii="宋体" w:hAnsi="宋体" w:cs="宋体"/>
                <w:color w:val="000000"/>
                <w:szCs w:val="21"/>
              </w:rPr>
            </w:pPr>
          </w:p>
        </w:tc>
        <w:tc>
          <w:tcPr>
            <w:tcW w:w="99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FACC">
            <w:pPr>
              <w:jc w:val="center"/>
              <w:rPr>
                <w:rFonts w:ascii="宋体" w:hAnsi="宋体" w:cs="宋体"/>
                <w:color w:val="00000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7374">
            <w:pPr>
              <w:jc w:val="center"/>
              <w:rPr>
                <w:rFonts w:ascii="宋体" w:hAnsi="宋体" w:cs="宋体"/>
                <w:color w:val="000000"/>
                <w:szCs w:val="21"/>
              </w:rPr>
            </w:pPr>
          </w:p>
        </w:tc>
        <w:tc>
          <w:tcPr>
            <w:tcW w:w="9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F664A">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有效日期</w:t>
            </w:r>
          </w:p>
        </w:tc>
        <w:tc>
          <w:tcPr>
            <w:tcW w:w="19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EF64">
            <w:pPr>
              <w:jc w:val="center"/>
              <w:rPr>
                <w:rFonts w:ascii="宋体" w:hAnsi="宋体" w:cs="宋体"/>
                <w:color w:val="000000"/>
                <w:szCs w:val="21"/>
              </w:rPr>
            </w:pPr>
          </w:p>
        </w:tc>
      </w:tr>
    </w:tbl>
    <w:p w14:paraId="62E14EA2">
      <w:pPr>
        <w:rPr>
          <w:szCs w:val="21"/>
        </w:rPr>
      </w:pPr>
      <w:r>
        <w:rPr>
          <w:szCs w:val="21"/>
        </w:rPr>
        <mc:AlternateContent>
          <mc:Choice Requires="wps">
            <w:drawing>
              <wp:anchor distT="0" distB="0" distL="114300" distR="114300" simplePos="0" relativeHeight="251659264" behindDoc="0" locked="0" layoutInCell="1" allowOverlap="1">
                <wp:simplePos x="0" y="0"/>
                <wp:positionH relativeFrom="column">
                  <wp:posOffset>33655</wp:posOffset>
                </wp:positionH>
                <wp:positionV relativeFrom="paragraph">
                  <wp:posOffset>321310</wp:posOffset>
                </wp:positionV>
                <wp:extent cx="5547995" cy="0"/>
                <wp:effectExtent l="0" t="6350" r="0" b="6350"/>
                <wp:wrapNone/>
                <wp:docPr id="1" name="直接连接符 1"/>
                <wp:cNvGraphicFramePr/>
                <a:graphic xmlns:a="http://schemas.openxmlformats.org/drawingml/2006/main">
                  <a:graphicData uri="http://schemas.microsoft.com/office/word/2010/wordprocessingShape">
                    <wps:wsp>
                      <wps:cNvCnPr/>
                      <wps:spPr>
                        <a:xfrm>
                          <a:off x="994410" y="3844290"/>
                          <a:ext cx="5547995" cy="0"/>
                        </a:xfrm>
                        <a:prstGeom prst="line">
                          <a:avLst/>
                        </a:prstGeom>
                        <a:noFill/>
                        <a:ln w="12700" cap="flat" cmpd="sng" algn="ctr">
                          <a:solidFill>
                            <a:sysClr val="windowText" lastClr="000000"/>
                          </a:solidFill>
                          <a:prstDash val="dash"/>
                          <a:miter lim="800000"/>
                        </a:ln>
                        <a:effectLst/>
                      </wps:spPr>
                      <wps:bodyPr/>
                    </wps:wsp>
                  </a:graphicData>
                </a:graphic>
              </wp:anchor>
            </w:drawing>
          </mc:Choice>
          <mc:Fallback>
            <w:pict>
              <v:line id="_x0000_s1026" o:spid="_x0000_s1026" o:spt="20" style="position:absolute;left:0pt;margin-left:2.65pt;margin-top:25.3pt;height:0pt;width:436.85pt;z-index:251659264;mso-width-relative:page;mso-height-relative:page;" filled="f" stroked="t" coordsize="21600,21600" o:gfxdata="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MP8mx1wAAAAcBAAAPAAAAAAAAAAEAIAAAACIAAABkcnMv&#10;ZG93bnJldi54bWxQSwECFAAUAAAACACHTuJACo599AQCAADeAwAADgAAAAAAAAABACAAAAAmAQAA&#10;ZHJzL2Uyb0RvYy54bWxQSwUGAAAAAAYABgBZAQAAnAUAAAAA&#10;">
                <v:fill on="f" focussize="0,0"/>
                <v:stroke weight="1pt" color="#000000" miterlimit="8" joinstyle="miter" dashstyle="dash"/>
                <v:imagedata o:title=""/>
                <o:lock v:ext="edit" aspectratio="f"/>
              </v:line>
            </w:pict>
          </mc:Fallback>
        </mc:AlternateContent>
      </w:r>
    </w:p>
    <w:p w14:paraId="6919474B">
      <w:pPr>
        <w:jc w:val="center"/>
        <w:rPr>
          <w:szCs w:val="21"/>
        </w:rPr>
      </w:pPr>
    </w:p>
    <w:p w14:paraId="64BBE745">
      <w:pPr>
        <w:rPr>
          <w:szCs w:val="21"/>
        </w:rPr>
      </w:pPr>
    </w:p>
    <w:p w14:paraId="22791742">
      <w:pPr>
        <w:jc w:val="center"/>
        <w:rPr>
          <w:b/>
          <w:bCs/>
          <w:szCs w:val="21"/>
        </w:rPr>
      </w:pPr>
      <w:r>
        <w:rPr>
          <w:rFonts w:hint="eastAsia"/>
          <w:b/>
          <w:bCs/>
          <w:szCs w:val="21"/>
        </w:rPr>
        <w:t>食品安全抽样检验任务委托书</w:t>
      </w:r>
    </w:p>
    <w:p w14:paraId="5E5878AC">
      <w:pPr>
        <w:rPr>
          <w:szCs w:val="21"/>
        </w:rPr>
      </w:pPr>
      <w:r>
        <w:rPr>
          <w:rFonts w:hint="eastAsia"/>
          <w:szCs w:val="21"/>
        </w:rPr>
        <w:t xml:space="preserve"> </w:t>
      </w:r>
    </w:p>
    <w:p w14:paraId="2898FF4B">
      <w:pPr>
        <w:tabs>
          <w:tab w:val="left" w:pos="2091"/>
        </w:tabs>
        <w:jc w:val="left"/>
        <w:rPr>
          <w:szCs w:val="21"/>
        </w:rPr>
      </w:pPr>
      <w:r>
        <w:rPr>
          <w:rFonts w:hint="eastAsia"/>
          <w:szCs w:val="21"/>
        </w:rPr>
        <w:tab/>
      </w:r>
      <w:r>
        <w:rPr>
          <w:rFonts w:hint="eastAsia"/>
          <w:szCs w:val="21"/>
        </w:rPr>
        <w:t xml:space="preserve">                  </w:t>
      </w:r>
      <w:r>
        <w:rPr>
          <w:rFonts w:hint="eastAsia" w:ascii="宋体" w:hAnsi="宋体" w:cs="宋体"/>
          <w:szCs w:val="21"/>
        </w:rPr>
        <w:t>（编号：            ）</w:t>
      </w:r>
    </w:p>
    <w:p w14:paraId="7CED9499">
      <w:pPr>
        <w:tabs>
          <w:tab w:val="left" w:pos="2091"/>
        </w:tabs>
        <w:spacing w:line="600" w:lineRule="auto"/>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：（受委托单位全称） </w:t>
      </w:r>
    </w:p>
    <w:p w14:paraId="728DE76E">
      <w:pPr>
        <w:spacing w:line="600" w:lineRule="auto"/>
        <w:ind w:firstLine="328"/>
        <w:jc w:val="left"/>
        <w:rPr>
          <w:rFonts w:ascii="宋体" w:hAnsi="宋体" w:cs="宋体"/>
          <w:szCs w:val="21"/>
        </w:rPr>
      </w:pPr>
      <w:r>
        <w:rPr>
          <w:rFonts w:hint="eastAsia" w:ascii="宋体" w:hAnsi="宋体" w:cs="宋体"/>
          <w:szCs w:val="21"/>
        </w:rPr>
        <w:t>按照</w:t>
      </w:r>
      <w:r>
        <w:rPr>
          <w:rFonts w:hint="eastAsia" w:ascii="宋体" w:hAnsi="宋体" w:cs="宋体"/>
          <w:szCs w:val="21"/>
          <w:u w:val="single"/>
        </w:rPr>
        <w:t xml:space="preserve">             </w:t>
      </w:r>
      <w:r>
        <w:rPr>
          <w:rFonts w:hint="eastAsia" w:ascii="宋体" w:hAnsi="宋体" w:cs="宋体"/>
          <w:szCs w:val="21"/>
        </w:rPr>
        <w:t>市场监督管理局</w:t>
      </w:r>
      <w:r>
        <w:rPr>
          <w:rFonts w:hint="eastAsia" w:ascii="宋体" w:hAnsi="宋体" w:cs="宋体"/>
          <w:szCs w:val="21"/>
          <w:u w:val="single"/>
        </w:rPr>
        <w:t xml:space="preserve"> 202</w:t>
      </w:r>
      <w:r>
        <w:rPr>
          <w:rFonts w:hint="eastAsia" w:ascii="宋体" w:hAnsi="宋体" w:cs="宋体"/>
          <w:szCs w:val="21"/>
          <w:u w:val="single"/>
          <w:lang w:val="en-US" w:eastAsia="zh-CN"/>
        </w:rPr>
        <w:t>6</w:t>
      </w:r>
      <w:r>
        <w:rPr>
          <w:rFonts w:hint="eastAsia" w:ascii="宋体" w:hAnsi="宋体" w:cs="宋体"/>
          <w:szCs w:val="21"/>
          <w:u w:val="single"/>
        </w:rPr>
        <w:t xml:space="preserve">  </w:t>
      </w:r>
      <w:r>
        <w:rPr>
          <w:rFonts w:hint="eastAsia" w:ascii="宋体" w:hAnsi="宋体" w:cs="宋体"/>
          <w:szCs w:val="21"/>
        </w:rPr>
        <w:t>年食品安全抽检监测计划，兹委托你单位：从</w:t>
      </w:r>
      <w:r>
        <w:rPr>
          <w:rFonts w:hint="eastAsia" w:ascii="宋体" w:hAnsi="宋体" w:cs="宋体"/>
          <w:szCs w:val="21"/>
          <w:u w:val="single"/>
        </w:rPr>
        <w:t>202</w:t>
      </w:r>
      <w:r>
        <w:rPr>
          <w:rFonts w:hint="eastAsia" w:ascii="宋体" w:hAnsi="宋体" w:cs="宋体"/>
          <w:szCs w:val="21"/>
          <w:u w:val="single"/>
          <w:lang w:val="en-US" w:eastAsia="zh-CN"/>
        </w:rPr>
        <w:t>6</w:t>
      </w:r>
      <w:r>
        <w:rPr>
          <w:rFonts w:hint="eastAsia" w:ascii="宋体" w:hAnsi="宋体" w:cs="宋体"/>
          <w:szCs w:val="21"/>
        </w:rPr>
        <w:t>年</w:t>
      </w:r>
      <w:r>
        <w:rPr>
          <w:rFonts w:hint="eastAsia" w:ascii="宋体" w:hAnsi="宋体" w:cs="宋体"/>
          <w:szCs w:val="21"/>
          <w:u w:val="single"/>
          <w:lang w:val="en-US" w:eastAsia="zh-CN"/>
        </w:rPr>
        <w:t xml:space="preserve">   </w:t>
      </w:r>
      <w:r>
        <w:rPr>
          <w:rFonts w:hint="eastAsia" w:ascii="宋体" w:hAnsi="宋体" w:cs="宋体"/>
          <w:szCs w:val="21"/>
        </w:rPr>
        <w:t>月</w:t>
      </w:r>
      <w:r>
        <w:rPr>
          <w:rFonts w:hint="eastAsia" w:ascii="宋体" w:hAnsi="宋体" w:cs="宋体"/>
          <w:szCs w:val="21"/>
          <w:u w:val="single"/>
          <w:lang w:val="en-US" w:eastAsia="zh-CN"/>
        </w:rPr>
        <w:t xml:space="preserve">    </w:t>
      </w:r>
      <w:r>
        <w:rPr>
          <w:rFonts w:hint="eastAsia" w:ascii="宋体" w:hAnsi="宋体" w:cs="宋体"/>
          <w:szCs w:val="21"/>
        </w:rPr>
        <w:t>日至</w:t>
      </w:r>
      <w:r>
        <w:rPr>
          <w:rFonts w:hint="eastAsia" w:ascii="宋体" w:hAnsi="宋体" w:cs="宋体"/>
          <w:szCs w:val="21"/>
          <w:u w:val="single"/>
        </w:rPr>
        <w:t>202</w:t>
      </w:r>
      <w:r>
        <w:rPr>
          <w:rFonts w:hint="eastAsia" w:ascii="宋体" w:hAnsi="宋体" w:cs="宋体"/>
          <w:szCs w:val="21"/>
          <w:u w:val="single"/>
          <w:lang w:val="en-US" w:eastAsia="zh-CN"/>
        </w:rPr>
        <w:t>6</w:t>
      </w:r>
      <w:r>
        <w:rPr>
          <w:rFonts w:hint="eastAsia" w:ascii="宋体" w:hAnsi="宋体" w:cs="宋体"/>
          <w:szCs w:val="21"/>
        </w:rPr>
        <w:t>年</w:t>
      </w:r>
      <w:r>
        <w:rPr>
          <w:rFonts w:hint="eastAsia" w:ascii="宋体" w:hAnsi="宋体" w:cs="宋体"/>
          <w:szCs w:val="21"/>
          <w:u w:val="single"/>
          <w:lang w:val="en-US" w:eastAsia="zh-CN"/>
        </w:rPr>
        <w:t xml:space="preserve">   </w:t>
      </w:r>
      <w:r>
        <w:rPr>
          <w:rFonts w:hint="eastAsia" w:ascii="宋体" w:hAnsi="宋体" w:cs="宋体"/>
          <w:szCs w:val="21"/>
        </w:rPr>
        <w:t>月</w:t>
      </w:r>
      <w:r>
        <w:rPr>
          <w:rFonts w:hint="eastAsia" w:ascii="宋体" w:hAnsi="宋体" w:cs="宋体"/>
          <w:szCs w:val="21"/>
          <w:u w:val="single"/>
          <w:lang w:val="en-US" w:eastAsia="zh-CN"/>
        </w:rPr>
        <w:t xml:space="preserve">    </w:t>
      </w:r>
      <w:r>
        <w:rPr>
          <w:rFonts w:hint="eastAsia" w:ascii="宋体" w:hAnsi="宋体" w:cs="宋体"/>
          <w:szCs w:val="21"/>
        </w:rPr>
        <w:t>日，按有关法律法规规定，承担</w:t>
      </w:r>
      <w:r>
        <w:rPr>
          <w:rFonts w:hint="eastAsia" w:ascii="宋体" w:hAnsi="宋体" w:cs="宋体"/>
          <w:szCs w:val="21"/>
          <w:u w:val="single"/>
        </w:rPr>
        <w:t xml:space="preserve">            （区域） </w:t>
      </w:r>
      <w:r>
        <w:rPr>
          <w:rFonts w:hint="eastAsia" w:ascii="宋体" w:hAnsi="宋体" w:cs="宋体"/>
          <w:szCs w:val="21"/>
        </w:rPr>
        <w:t>内的</w:t>
      </w:r>
      <w:r>
        <w:rPr>
          <w:rFonts w:hint="eastAsia" w:ascii="宋体" w:hAnsi="宋体" w:cs="宋体"/>
          <w:szCs w:val="21"/>
          <w:u w:val="single"/>
        </w:rPr>
        <w:t xml:space="preserve">                                 （食品品种）</w:t>
      </w:r>
      <w:r>
        <w:rPr>
          <w:rFonts w:hint="eastAsia" w:ascii="宋体" w:hAnsi="宋体" w:cs="宋体"/>
          <w:szCs w:val="21"/>
        </w:rPr>
        <w:t>的</w:t>
      </w:r>
      <w:r>
        <w:rPr>
          <w:rFonts w:hint="eastAsia" w:ascii="宋体" w:hAnsi="宋体" w:cs="宋体"/>
          <w:szCs w:val="21"/>
        </w:rPr>
        <w:sym w:font="Wingdings" w:char="00FE"/>
      </w:r>
      <w:r>
        <w:rPr>
          <w:rFonts w:hint="eastAsia" w:ascii="宋体" w:hAnsi="宋体" w:cs="宋体"/>
          <w:szCs w:val="21"/>
        </w:rPr>
        <w:t>抽样、</w:t>
      </w:r>
      <w:r>
        <w:rPr>
          <w:rFonts w:hint="eastAsia" w:ascii="宋体" w:hAnsi="宋体" w:cs="宋体"/>
          <w:szCs w:val="21"/>
        </w:rPr>
        <w:sym w:font="Wingdings" w:char="00FE"/>
      </w:r>
      <w:r>
        <w:rPr>
          <w:rFonts w:hint="eastAsia" w:ascii="宋体" w:hAnsi="宋体" w:cs="宋体"/>
          <w:szCs w:val="21"/>
        </w:rPr>
        <w:t>检验工作，并按要求完成结果上报工作。</w:t>
      </w:r>
    </w:p>
    <w:p w14:paraId="6DB5BE44">
      <w:pPr>
        <w:spacing w:line="600" w:lineRule="auto"/>
        <w:ind w:firstLine="328"/>
        <w:jc w:val="left"/>
        <w:rPr>
          <w:rFonts w:ascii="宋体" w:hAnsi="宋体" w:cs="宋体"/>
          <w:szCs w:val="21"/>
        </w:rPr>
      </w:pPr>
      <w:r>
        <w:rPr>
          <w:rFonts w:hint="eastAsia" w:ascii="宋体" w:hAnsi="宋体" w:cs="宋体"/>
          <w:szCs w:val="21"/>
        </w:rPr>
        <w:t xml:space="preserve">                                                       年     月     日</w:t>
      </w:r>
    </w:p>
    <w:p w14:paraId="7EC449FB">
      <w:pPr>
        <w:spacing w:line="600" w:lineRule="auto"/>
        <w:ind w:firstLine="328"/>
        <w:jc w:val="left"/>
        <w:rPr>
          <w:rFonts w:ascii="宋体" w:hAnsi="宋体" w:cs="宋体"/>
          <w:szCs w:val="21"/>
        </w:rPr>
      </w:pPr>
      <w:r>
        <w:rPr>
          <w:rFonts w:hint="eastAsia" w:ascii="宋体" w:hAnsi="宋体" w:cs="宋体"/>
          <w:szCs w:val="21"/>
        </w:rPr>
        <w:t xml:space="preserve">                                                      （下达任务部门盖章）</w:t>
      </w:r>
    </w:p>
    <w:p w14:paraId="5BDF5898">
      <w:pPr>
        <w:spacing w:line="360" w:lineRule="exact"/>
        <w:jc w:val="right"/>
        <w:rPr>
          <w:rFonts w:hint="eastAsia" w:ascii="宋体" w:hAnsi="宋体" w:cs="宋体"/>
          <w:szCs w:val="21"/>
        </w:rPr>
      </w:pPr>
    </w:p>
    <w:p w14:paraId="1A049F14">
      <w:pPr>
        <w:widowControl/>
        <w:jc w:val="left"/>
        <w:rPr>
          <w:rFonts w:ascii="宋体" w:hAnsi="宋体" w:cs="宋体"/>
          <w:color w:val="000000"/>
          <w:kern w:val="0"/>
          <w:szCs w:val="21"/>
        </w:rPr>
        <w:sectPr>
          <w:pgSz w:w="11905" w:h="16838"/>
          <w:pgMar w:top="1440" w:right="1803" w:bottom="1440" w:left="1803" w:header="851" w:footer="992" w:gutter="0"/>
          <w:cols w:space="0" w:num="1"/>
          <w:rtlGutter w:val="0"/>
          <w:docGrid w:type="lines" w:linePitch="319" w:charSpace="0"/>
        </w:sectPr>
      </w:pPr>
    </w:p>
    <w:p w14:paraId="754E28F5">
      <w:pPr>
        <w:adjustRightInd w:val="0"/>
        <w:snapToGrid w:val="0"/>
        <w:spacing w:line="360" w:lineRule="exact"/>
        <w:rPr>
          <w:rFonts w:hint="eastAsia" w:ascii="宋体" w:hAnsi="宋体" w:cs="宋体"/>
          <w:b/>
          <w:szCs w:val="21"/>
        </w:rPr>
      </w:pPr>
      <w:r>
        <w:rPr>
          <w:rFonts w:hint="eastAsia" w:ascii="宋体" w:hAnsi="宋体" w:cs="宋体"/>
          <w:b/>
          <w:szCs w:val="21"/>
        </w:rPr>
        <w:t>附件2：202</w:t>
      </w:r>
      <w:r>
        <w:rPr>
          <w:rFonts w:hint="eastAsia" w:ascii="宋体" w:hAnsi="宋体" w:cs="宋体"/>
          <w:b/>
          <w:szCs w:val="21"/>
          <w:lang w:val="en-US" w:eastAsia="zh-CN"/>
        </w:rPr>
        <w:t>6</w:t>
      </w:r>
      <w:r>
        <w:rPr>
          <w:rFonts w:hint="eastAsia" w:ascii="宋体" w:hAnsi="宋体" w:cs="宋体"/>
          <w:b/>
          <w:szCs w:val="21"/>
        </w:rPr>
        <w:t>年常州经济开发区食品抽样检测工作任务分配及要求</w:t>
      </w:r>
    </w:p>
    <w:p w14:paraId="149FD7F6">
      <w:pPr>
        <w:adjustRightInd w:val="0"/>
        <w:snapToGrid w:val="0"/>
        <w:spacing w:line="360" w:lineRule="exact"/>
        <w:jc w:val="center"/>
        <w:rPr>
          <w:rFonts w:hint="eastAsia" w:ascii="宋体" w:hAnsi="宋体" w:cs="宋体"/>
          <w:b/>
          <w:szCs w:val="21"/>
        </w:rPr>
      </w:pPr>
    </w:p>
    <w:p w14:paraId="0A5FA02E">
      <w:pPr>
        <w:adjustRightInd w:val="0"/>
        <w:snapToGrid w:val="0"/>
        <w:spacing w:line="360" w:lineRule="exact"/>
        <w:jc w:val="center"/>
        <w:rPr>
          <w:rFonts w:hint="eastAsia" w:ascii="宋体" w:hAnsi="宋体" w:cs="宋体"/>
          <w:b/>
          <w:szCs w:val="21"/>
        </w:rPr>
      </w:pPr>
      <w:r>
        <w:rPr>
          <w:rFonts w:hint="eastAsia" w:ascii="宋体" w:hAnsi="宋体" w:cs="宋体"/>
          <w:b/>
          <w:szCs w:val="21"/>
        </w:rPr>
        <w:t>202</w:t>
      </w:r>
      <w:r>
        <w:rPr>
          <w:rFonts w:hint="eastAsia" w:ascii="宋体" w:hAnsi="宋体" w:cs="宋体"/>
          <w:b/>
          <w:szCs w:val="21"/>
          <w:lang w:val="en-US" w:eastAsia="zh-CN"/>
        </w:rPr>
        <w:t>6</w:t>
      </w:r>
      <w:r>
        <w:rPr>
          <w:rFonts w:hint="eastAsia" w:ascii="宋体" w:hAnsi="宋体" w:cs="宋体"/>
          <w:b/>
          <w:szCs w:val="21"/>
        </w:rPr>
        <w:t>年常州经济开发区食品抽样检测工作任务分配及要求</w:t>
      </w:r>
    </w:p>
    <w:tbl>
      <w:tblPr>
        <w:tblStyle w:val="49"/>
        <w:tblW w:w="5000" w:type="pct"/>
        <w:tblInd w:w="0" w:type="dxa"/>
        <w:tblLayout w:type="autofit"/>
        <w:tblCellMar>
          <w:top w:w="0" w:type="dxa"/>
          <w:left w:w="108" w:type="dxa"/>
          <w:bottom w:w="0" w:type="dxa"/>
          <w:right w:w="108" w:type="dxa"/>
        </w:tblCellMar>
      </w:tblPr>
      <w:tblGrid>
        <w:gridCol w:w="1355"/>
        <w:gridCol w:w="1194"/>
        <w:gridCol w:w="1194"/>
        <w:gridCol w:w="1194"/>
        <w:gridCol w:w="1194"/>
        <w:gridCol w:w="1192"/>
        <w:gridCol w:w="1192"/>
      </w:tblGrid>
      <w:tr w14:paraId="1FD8EAE1">
        <w:tblPrEx>
          <w:tblCellMar>
            <w:top w:w="0" w:type="dxa"/>
            <w:left w:w="108" w:type="dxa"/>
            <w:bottom w:w="0" w:type="dxa"/>
            <w:right w:w="108" w:type="dxa"/>
          </w:tblCellMar>
        </w:tblPrEx>
        <w:trPr>
          <w:trHeight w:val="283" w:hRule="atLeast"/>
        </w:trPr>
        <w:tc>
          <w:tcPr>
            <w:tcW w:w="796" w:type="pct"/>
            <w:tcBorders>
              <w:top w:val="single" w:color="auto" w:sz="4" w:space="0"/>
              <w:left w:val="single" w:color="auto" w:sz="4" w:space="0"/>
              <w:bottom w:val="single" w:color="auto" w:sz="4" w:space="0"/>
              <w:right w:val="single" w:color="auto" w:sz="4" w:space="0"/>
            </w:tcBorders>
            <w:noWrap w:val="0"/>
            <w:vAlign w:val="center"/>
          </w:tcPr>
          <w:p w14:paraId="318383C6">
            <w:pPr>
              <w:widowControl/>
              <w:spacing w:line="360" w:lineRule="exact"/>
              <w:jc w:val="center"/>
              <w:rPr>
                <w:rFonts w:ascii="宋体" w:hAnsi="宋体" w:cs="宋体"/>
                <w:bCs/>
                <w:kern w:val="0"/>
                <w:szCs w:val="21"/>
              </w:rPr>
            </w:pPr>
            <w:r>
              <w:rPr>
                <w:rFonts w:hint="eastAsia" w:ascii="宋体" w:hAnsi="宋体" w:cs="宋体"/>
                <w:bCs/>
                <w:kern w:val="0"/>
                <w:szCs w:val="21"/>
              </w:rPr>
              <w:t>地区</w:t>
            </w:r>
          </w:p>
        </w:tc>
        <w:tc>
          <w:tcPr>
            <w:tcW w:w="701" w:type="pct"/>
            <w:tcBorders>
              <w:top w:val="single" w:color="auto" w:sz="4" w:space="0"/>
              <w:left w:val="nil"/>
              <w:bottom w:val="single" w:color="auto" w:sz="4" w:space="0"/>
              <w:right w:val="single" w:color="auto" w:sz="4" w:space="0"/>
            </w:tcBorders>
            <w:noWrap w:val="0"/>
            <w:vAlign w:val="center"/>
          </w:tcPr>
          <w:p w14:paraId="3682339C">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3D5BBFEF">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201C8BA4">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7EEEB8BB">
            <w:pPr>
              <w:widowControl/>
              <w:spacing w:line="360" w:lineRule="exact"/>
              <w:jc w:val="center"/>
              <w:rPr>
                <w:rFonts w:ascii="宋体" w:hAnsi="宋体" w:cs="宋体"/>
                <w:bCs/>
                <w:kern w:val="0"/>
                <w:szCs w:val="21"/>
              </w:rPr>
            </w:pPr>
          </w:p>
        </w:tc>
        <w:tc>
          <w:tcPr>
            <w:tcW w:w="700" w:type="pct"/>
            <w:tcBorders>
              <w:top w:val="single" w:color="auto" w:sz="4" w:space="0"/>
              <w:left w:val="nil"/>
              <w:bottom w:val="single" w:color="auto" w:sz="4" w:space="0"/>
              <w:right w:val="single" w:color="auto" w:sz="4" w:space="0"/>
            </w:tcBorders>
            <w:noWrap w:val="0"/>
            <w:vAlign w:val="center"/>
          </w:tcPr>
          <w:p w14:paraId="0252CC76">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3FCEBBEA">
            <w:pPr>
              <w:widowControl/>
              <w:spacing w:line="360" w:lineRule="exact"/>
              <w:jc w:val="center"/>
              <w:rPr>
                <w:rFonts w:ascii="宋体" w:hAnsi="宋体" w:cs="宋体"/>
                <w:bCs/>
                <w:kern w:val="0"/>
                <w:szCs w:val="21"/>
              </w:rPr>
            </w:pPr>
          </w:p>
        </w:tc>
      </w:tr>
      <w:tr w14:paraId="5B3362EF">
        <w:tblPrEx>
          <w:tblCellMar>
            <w:top w:w="0" w:type="dxa"/>
            <w:left w:w="108" w:type="dxa"/>
            <w:bottom w:w="0" w:type="dxa"/>
            <w:right w:w="108" w:type="dxa"/>
          </w:tblCellMar>
        </w:tblPrEx>
        <w:trPr>
          <w:trHeight w:val="283" w:hRule="atLeast"/>
        </w:trPr>
        <w:tc>
          <w:tcPr>
            <w:tcW w:w="796" w:type="pct"/>
            <w:tcBorders>
              <w:top w:val="single" w:color="auto" w:sz="4" w:space="0"/>
              <w:left w:val="single" w:color="auto" w:sz="4" w:space="0"/>
              <w:bottom w:val="single" w:color="auto" w:sz="4" w:space="0"/>
              <w:right w:val="single" w:color="auto" w:sz="4" w:space="0"/>
            </w:tcBorders>
            <w:noWrap w:val="0"/>
            <w:vAlign w:val="center"/>
          </w:tcPr>
          <w:p w14:paraId="4CB55C68">
            <w:pPr>
              <w:widowControl/>
              <w:spacing w:line="360" w:lineRule="exact"/>
              <w:jc w:val="center"/>
              <w:rPr>
                <w:rFonts w:ascii="宋体" w:hAnsi="宋体" w:cs="宋体"/>
                <w:bCs/>
                <w:kern w:val="0"/>
                <w:szCs w:val="21"/>
              </w:rPr>
            </w:pPr>
            <w:r>
              <w:rPr>
                <w:rFonts w:hint="eastAsia" w:ascii="宋体" w:hAnsi="宋体" w:cs="宋体"/>
                <w:kern w:val="0"/>
                <w:szCs w:val="21"/>
              </w:rPr>
              <w:t>批次</w:t>
            </w:r>
          </w:p>
        </w:tc>
        <w:tc>
          <w:tcPr>
            <w:tcW w:w="701" w:type="pct"/>
            <w:tcBorders>
              <w:top w:val="single" w:color="auto" w:sz="4" w:space="0"/>
              <w:left w:val="nil"/>
              <w:bottom w:val="single" w:color="auto" w:sz="4" w:space="0"/>
              <w:right w:val="single" w:color="auto" w:sz="4" w:space="0"/>
            </w:tcBorders>
            <w:noWrap w:val="0"/>
            <w:vAlign w:val="center"/>
          </w:tcPr>
          <w:p w14:paraId="2B5F2FAD">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0DE9EC6D">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2C974E72">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461E871A">
            <w:pPr>
              <w:widowControl/>
              <w:spacing w:line="360" w:lineRule="exact"/>
              <w:jc w:val="center"/>
              <w:rPr>
                <w:rFonts w:ascii="宋体" w:hAnsi="宋体" w:cs="宋体"/>
                <w:bCs/>
                <w:kern w:val="0"/>
                <w:szCs w:val="21"/>
              </w:rPr>
            </w:pPr>
          </w:p>
        </w:tc>
        <w:tc>
          <w:tcPr>
            <w:tcW w:w="700" w:type="pct"/>
            <w:tcBorders>
              <w:top w:val="single" w:color="auto" w:sz="4" w:space="0"/>
              <w:left w:val="nil"/>
              <w:bottom w:val="single" w:color="auto" w:sz="4" w:space="0"/>
              <w:right w:val="single" w:color="auto" w:sz="4" w:space="0"/>
            </w:tcBorders>
            <w:noWrap w:val="0"/>
            <w:vAlign w:val="center"/>
          </w:tcPr>
          <w:p w14:paraId="73CCB3D2">
            <w:pPr>
              <w:widowControl/>
              <w:spacing w:line="360" w:lineRule="exact"/>
              <w:jc w:val="center"/>
              <w:rPr>
                <w:rFonts w:ascii="宋体" w:hAnsi="宋体" w:cs="宋体"/>
                <w:bCs/>
                <w:kern w:val="0"/>
                <w:szCs w:val="21"/>
              </w:rPr>
            </w:pPr>
          </w:p>
        </w:tc>
        <w:tc>
          <w:tcPr>
            <w:tcW w:w="701" w:type="pct"/>
            <w:tcBorders>
              <w:top w:val="single" w:color="auto" w:sz="4" w:space="0"/>
              <w:left w:val="nil"/>
              <w:bottom w:val="single" w:color="auto" w:sz="4" w:space="0"/>
              <w:right w:val="single" w:color="auto" w:sz="4" w:space="0"/>
            </w:tcBorders>
            <w:noWrap w:val="0"/>
            <w:vAlign w:val="center"/>
          </w:tcPr>
          <w:p w14:paraId="6721B011">
            <w:pPr>
              <w:widowControl/>
              <w:spacing w:line="360" w:lineRule="exact"/>
              <w:jc w:val="center"/>
              <w:rPr>
                <w:rFonts w:ascii="宋体" w:hAnsi="宋体" w:cs="宋体"/>
                <w:bCs/>
                <w:kern w:val="0"/>
                <w:szCs w:val="21"/>
              </w:rPr>
            </w:pPr>
          </w:p>
        </w:tc>
      </w:tr>
    </w:tbl>
    <w:p w14:paraId="6546C2E6">
      <w:pPr>
        <w:spacing w:line="360" w:lineRule="exact"/>
        <w:ind w:firstLine="420" w:firstLineChars="200"/>
        <w:rPr>
          <w:rFonts w:hint="eastAsia" w:ascii="宋体" w:hAnsi="宋体" w:cs="宋体"/>
          <w:szCs w:val="21"/>
        </w:rPr>
      </w:pPr>
      <w:r>
        <w:rPr>
          <w:rFonts w:hint="eastAsia" w:ascii="宋体" w:hAnsi="宋体" w:cs="宋体"/>
          <w:szCs w:val="21"/>
        </w:rPr>
        <w:t>抽检重点</w:t>
      </w:r>
    </w:p>
    <w:p w14:paraId="223F42E8">
      <w:pPr>
        <w:spacing w:line="360" w:lineRule="exact"/>
        <w:ind w:firstLine="420" w:firstLineChars="200"/>
        <w:rPr>
          <w:rFonts w:hint="eastAsia" w:ascii="宋体" w:hAnsi="宋体" w:cs="宋体"/>
          <w:szCs w:val="21"/>
        </w:rPr>
      </w:pPr>
      <w:r>
        <w:rPr>
          <w:rFonts w:hint="eastAsia" w:ascii="宋体" w:hAnsi="宋体" w:cs="宋体"/>
          <w:szCs w:val="21"/>
        </w:rPr>
        <w:t>1.重点产品：要重点抽检举报投诉多、风险隐患多、监督检查中存在问题多，以及体现时令季节性特点和百姓消费特色点的食品。</w:t>
      </w:r>
    </w:p>
    <w:p w14:paraId="6C68EE91">
      <w:pPr>
        <w:spacing w:line="360" w:lineRule="exact"/>
        <w:ind w:firstLine="420" w:firstLineChars="200"/>
        <w:rPr>
          <w:rFonts w:hint="eastAsia" w:ascii="宋体" w:hAnsi="宋体" w:cs="宋体"/>
          <w:szCs w:val="21"/>
        </w:rPr>
      </w:pPr>
      <w:r>
        <w:rPr>
          <w:rFonts w:hint="eastAsia" w:ascii="宋体" w:hAnsi="宋体" w:cs="宋体"/>
          <w:szCs w:val="21"/>
        </w:rPr>
        <w:t>2.重点区域：涉及食用农产品集中交易市场、食品安全问题多发区、旅游景区、大型集体餐饮场所，以及农村、城乡结合部、中小学校及周边等重点区域。</w:t>
      </w:r>
    </w:p>
    <w:p w14:paraId="4106D52F">
      <w:pPr>
        <w:spacing w:line="360" w:lineRule="exact"/>
        <w:ind w:firstLine="420" w:firstLineChars="200"/>
        <w:rPr>
          <w:rFonts w:hint="eastAsia" w:ascii="宋体" w:hAnsi="宋体" w:cs="宋体"/>
          <w:szCs w:val="21"/>
        </w:rPr>
      </w:pPr>
      <w:r>
        <w:rPr>
          <w:rFonts w:hint="eastAsia" w:ascii="宋体" w:hAnsi="宋体" w:cs="宋体"/>
          <w:szCs w:val="21"/>
        </w:rPr>
        <w:t>3.重点对象：流通环节要加大对大型商超以及集贸市场、食用农产品批发市场的抽检检测。</w:t>
      </w:r>
    </w:p>
    <w:p w14:paraId="7A9AAE99">
      <w:pPr>
        <w:spacing w:line="360" w:lineRule="exact"/>
        <w:ind w:right="420"/>
        <w:jc w:val="right"/>
        <w:rPr>
          <w:rFonts w:hint="eastAsia" w:ascii="宋体" w:hAnsi="宋体" w:cs="宋体"/>
          <w:szCs w:val="21"/>
        </w:rPr>
      </w:pPr>
      <w:r>
        <w:rPr>
          <w:rFonts w:hint="eastAsia" w:ascii="宋体" w:hAnsi="宋体" w:cs="宋体"/>
          <w:szCs w:val="21"/>
        </w:rPr>
        <w:t>江苏常州经济开发区市场监督管理局</w:t>
      </w:r>
    </w:p>
    <w:p w14:paraId="35080A71">
      <w:pPr>
        <w:ind w:firstLine="5670" w:firstLineChars="2700"/>
        <w:rPr>
          <w:rFonts w:hint="eastAsia" w:ascii="Arial" w:hAnsi="Arial" w:eastAsia="Arial" w:cs="Times New Roman"/>
          <w:sz w:val="21"/>
          <w:szCs w:val="18"/>
        </w:rPr>
      </w:pPr>
      <w:r>
        <w:rPr>
          <w:rFonts w:hint="eastAsia" w:ascii="宋体" w:hAnsi="宋体" w:cs="宋体"/>
          <w:szCs w:val="21"/>
        </w:rPr>
        <w:t>202</w:t>
      </w:r>
      <w:r>
        <w:rPr>
          <w:rFonts w:hint="eastAsia" w:ascii="宋体" w:hAnsi="宋体" w:cs="宋体"/>
          <w:szCs w:val="21"/>
          <w:lang w:val="en-US" w:eastAsia="zh-CN"/>
        </w:rPr>
        <w:t>6</w:t>
      </w:r>
      <w:r>
        <w:rPr>
          <w:rFonts w:hint="eastAsia" w:ascii="宋体" w:hAnsi="宋体" w:cs="宋体"/>
          <w:szCs w:val="21"/>
        </w:rPr>
        <w:t xml:space="preserve">年 月 日   </w:t>
      </w:r>
    </w:p>
    <w:p w14:paraId="6329EE05">
      <w:pPr>
        <w:rPr>
          <w:rFonts w:ascii="宋体" w:hAnsi="宋体"/>
          <w:b/>
          <w:sz w:val="36"/>
          <w:szCs w:val="36"/>
        </w:rPr>
      </w:pPr>
      <w:bookmarkStart w:id="456" w:name="_Toc24036"/>
      <w:r>
        <w:rPr>
          <w:rFonts w:ascii="宋体" w:hAnsi="宋体"/>
          <w:b/>
          <w:sz w:val="36"/>
          <w:szCs w:val="36"/>
        </w:rPr>
        <w:br w:type="page"/>
      </w:r>
    </w:p>
    <w:p w14:paraId="4C1C20E5">
      <w:pPr>
        <w:adjustRightInd w:val="0"/>
        <w:snapToGrid w:val="0"/>
        <w:spacing w:line="360" w:lineRule="exact"/>
        <w:rPr>
          <w:rFonts w:ascii="宋体" w:hAnsi="宋体" w:cs="宋体"/>
          <w:b/>
          <w:szCs w:val="21"/>
        </w:rPr>
      </w:pPr>
      <w:r>
        <w:rPr>
          <w:rFonts w:hint="eastAsia" w:ascii="宋体" w:hAnsi="宋体" w:cs="宋体"/>
          <w:b/>
          <w:szCs w:val="21"/>
        </w:rPr>
        <w:t>附件3：</w:t>
      </w:r>
      <w:r>
        <w:rPr>
          <w:rFonts w:hint="eastAsia" w:ascii="宋体" w:hAnsi="宋体" w:cs="宋体"/>
          <w:b/>
          <w:szCs w:val="21"/>
          <w:lang w:val="en-US" w:eastAsia="zh-CN"/>
        </w:rPr>
        <w:t>2026</w:t>
      </w:r>
      <w:r>
        <w:rPr>
          <w:rFonts w:hint="eastAsia" w:ascii="宋体" w:hAnsi="宋体" w:cs="宋体"/>
          <w:b/>
          <w:szCs w:val="21"/>
        </w:rPr>
        <w:t>年常州经济开发区食品安全抽检项目承检单位绩效考核评价细则</w:t>
      </w:r>
    </w:p>
    <w:p w14:paraId="6E26C628">
      <w:pPr>
        <w:adjustRightInd w:val="0"/>
        <w:snapToGrid w:val="0"/>
        <w:spacing w:line="360" w:lineRule="exact"/>
        <w:jc w:val="center"/>
        <w:rPr>
          <w:rFonts w:ascii="宋体" w:hAnsi="宋体" w:cs="宋体"/>
          <w:bCs/>
          <w:szCs w:val="21"/>
        </w:rPr>
      </w:pPr>
    </w:p>
    <w:p w14:paraId="608CEBFC">
      <w:pPr>
        <w:adjustRightInd w:val="0"/>
        <w:snapToGrid w:val="0"/>
        <w:spacing w:line="360" w:lineRule="exact"/>
        <w:jc w:val="center"/>
        <w:rPr>
          <w:rFonts w:ascii="宋体" w:hAnsi="宋体" w:cs="宋体"/>
          <w:b/>
          <w:szCs w:val="21"/>
        </w:rPr>
      </w:pPr>
      <w:r>
        <w:rPr>
          <w:rFonts w:hint="eastAsia" w:ascii="宋体" w:hAnsi="宋体" w:cs="宋体"/>
          <w:b/>
          <w:szCs w:val="21"/>
        </w:rPr>
        <w:t>202</w:t>
      </w:r>
      <w:r>
        <w:rPr>
          <w:rFonts w:hint="eastAsia" w:ascii="宋体" w:hAnsi="宋体" w:cs="宋体"/>
          <w:b/>
          <w:szCs w:val="21"/>
          <w:lang w:val="en-US" w:eastAsia="zh-CN"/>
        </w:rPr>
        <w:t>6</w:t>
      </w:r>
      <w:r>
        <w:rPr>
          <w:rFonts w:hint="eastAsia" w:ascii="宋体" w:hAnsi="宋体" w:cs="宋体"/>
          <w:b/>
          <w:szCs w:val="21"/>
        </w:rPr>
        <w:t>年常州经济开发区食品安全抽检项目承检单位绩效考核评价细则</w:t>
      </w:r>
    </w:p>
    <w:tbl>
      <w:tblPr>
        <w:tblStyle w:val="4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958"/>
        <w:gridCol w:w="5433"/>
        <w:gridCol w:w="618"/>
        <w:gridCol w:w="574"/>
      </w:tblGrid>
      <w:tr w14:paraId="3BAC0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45" w:type="pct"/>
            <w:tcBorders>
              <w:top w:val="single" w:color="auto" w:sz="4" w:space="0"/>
              <w:left w:val="single" w:color="auto" w:sz="4" w:space="0"/>
              <w:bottom w:val="single" w:color="auto" w:sz="4" w:space="0"/>
              <w:right w:val="single" w:color="auto" w:sz="4" w:space="0"/>
            </w:tcBorders>
            <w:vAlign w:val="center"/>
          </w:tcPr>
          <w:p w14:paraId="0E78B412">
            <w:pPr>
              <w:spacing w:line="360" w:lineRule="exact"/>
              <w:jc w:val="center"/>
              <w:rPr>
                <w:rFonts w:ascii="宋体" w:hAnsi="宋体" w:cs="宋体"/>
                <w:b/>
                <w:szCs w:val="21"/>
              </w:rPr>
            </w:pPr>
            <w:r>
              <w:rPr>
                <w:rFonts w:hint="eastAsia" w:ascii="宋体" w:hAnsi="宋体" w:cs="宋体"/>
                <w:b/>
                <w:szCs w:val="21"/>
              </w:rPr>
              <w:t>序号</w:t>
            </w:r>
          </w:p>
        </w:tc>
        <w:tc>
          <w:tcPr>
            <w:tcW w:w="562" w:type="pct"/>
            <w:tcBorders>
              <w:top w:val="single" w:color="auto" w:sz="4" w:space="0"/>
              <w:left w:val="single" w:color="auto" w:sz="4" w:space="0"/>
              <w:bottom w:val="single" w:color="auto" w:sz="4" w:space="0"/>
              <w:right w:val="single" w:color="auto" w:sz="4" w:space="0"/>
            </w:tcBorders>
            <w:vAlign w:val="center"/>
          </w:tcPr>
          <w:p w14:paraId="3F7BFB09">
            <w:pPr>
              <w:spacing w:line="360" w:lineRule="exact"/>
              <w:jc w:val="center"/>
              <w:rPr>
                <w:rFonts w:ascii="宋体" w:hAnsi="宋体" w:cs="宋体"/>
                <w:b/>
                <w:szCs w:val="21"/>
              </w:rPr>
            </w:pPr>
            <w:r>
              <w:rPr>
                <w:rFonts w:hint="eastAsia" w:ascii="宋体" w:hAnsi="宋体" w:cs="宋体"/>
                <w:b/>
                <w:szCs w:val="21"/>
              </w:rPr>
              <w:t>检查</w:t>
            </w:r>
          </w:p>
          <w:p w14:paraId="42824509">
            <w:pPr>
              <w:spacing w:line="360" w:lineRule="exact"/>
              <w:jc w:val="center"/>
              <w:rPr>
                <w:rFonts w:ascii="宋体" w:hAnsi="宋体" w:cs="宋体"/>
                <w:b/>
                <w:szCs w:val="21"/>
              </w:rPr>
            </w:pPr>
            <w:r>
              <w:rPr>
                <w:rFonts w:hint="eastAsia" w:ascii="宋体" w:hAnsi="宋体" w:cs="宋体"/>
                <w:b/>
                <w:szCs w:val="21"/>
              </w:rPr>
              <w:t>内容</w:t>
            </w:r>
          </w:p>
        </w:tc>
        <w:tc>
          <w:tcPr>
            <w:tcW w:w="3189" w:type="pct"/>
            <w:tcBorders>
              <w:top w:val="single" w:color="auto" w:sz="4" w:space="0"/>
              <w:left w:val="single" w:color="auto" w:sz="4" w:space="0"/>
              <w:bottom w:val="single" w:color="auto" w:sz="4" w:space="0"/>
              <w:right w:val="single" w:color="auto" w:sz="4" w:space="0"/>
            </w:tcBorders>
            <w:vAlign w:val="center"/>
          </w:tcPr>
          <w:p w14:paraId="4BD40E39">
            <w:pPr>
              <w:spacing w:line="360" w:lineRule="exact"/>
              <w:jc w:val="center"/>
              <w:rPr>
                <w:rFonts w:ascii="宋体" w:hAnsi="宋体" w:cs="宋体"/>
                <w:b/>
                <w:szCs w:val="21"/>
              </w:rPr>
            </w:pPr>
            <w:r>
              <w:rPr>
                <w:rFonts w:hint="eastAsia" w:ascii="宋体" w:hAnsi="宋体" w:cs="宋体"/>
                <w:b/>
                <w:szCs w:val="21"/>
              </w:rPr>
              <w:t>检查要点</w:t>
            </w:r>
          </w:p>
        </w:tc>
        <w:tc>
          <w:tcPr>
            <w:tcW w:w="363" w:type="pct"/>
            <w:tcBorders>
              <w:top w:val="single" w:color="auto" w:sz="4" w:space="0"/>
              <w:left w:val="single" w:color="auto" w:sz="4" w:space="0"/>
              <w:bottom w:val="single" w:color="auto" w:sz="4" w:space="0"/>
              <w:right w:val="single" w:color="auto" w:sz="4" w:space="0"/>
            </w:tcBorders>
            <w:vAlign w:val="center"/>
          </w:tcPr>
          <w:p w14:paraId="0DB48FD3">
            <w:pPr>
              <w:spacing w:line="360" w:lineRule="exact"/>
              <w:jc w:val="center"/>
              <w:rPr>
                <w:rFonts w:ascii="宋体" w:hAnsi="宋体" w:cs="宋体"/>
                <w:b/>
                <w:szCs w:val="21"/>
              </w:rPr>
            </w:pPr>
            <w:r>
              <w:rPr>
                <w:rFonts w:hint="eastAsia" w:ascii="宋体" w:hAnsi="宋体" w:cs="宋体"/>
                <w:b/>
                <w:szCs w:val="21"/>
              </w:rPr>
              <w:t>检查</w:t>
            </w:r>
          </w:p>
          <w:p w14:paraId="00F802CA">
            <w:pPr>
              <w:spacing w:line="360" w:lineRule="exact"/>
              <w:jc w:val="center"/>
              <w:rPr>
                <w:rFonts w:ascii="宋体" w:hAnsi="宋体" w:cs="宋体"/>
                <w:b/>
                <w:szCs w:val="21"/>
              </w:rPr>
            </w:pPr>
            <w:r>
              <w:rPr>
                <w:rFonts w:hint="eastAsia" w:ascii="宋体" w:hAnsi="宋体" w:cs="宋体"/>
                <w:b/>
                <w:szCs w:val="21"/>
              </w:rPr>
              <w:t>情况</w:t>
            </w:r>
          </w:p>
        </w:tc>
        <w:tc>
          <w:tcPr>
            <w:tcW w:w="337" w:type="pct"/>
            <w:tcBorders>
              <w:top w:val="single" w:color="auto" w:sz="4" w:space="0"/>
              <w:left w:val="single" w:color="auto" w:sz="4" w:space="0"/>
              <w:bottom w:val="single" w:color="auto" w:sz="4" w:space="0"/>
              <w:right w:val="single" w:color="auto" w:sz="4" w:space="0"/>
            </w:tcBorders>
            <w:vAlign w:val="center"/>
          </w:tcPr>
          <w:p w14:paraId="39EFF608">
            <w:pPr>
              <w:spacing w:line="360" w:lineRule="exact"/>
              <w:jc w:val="center"/>
              <w:rPr>
                <w:rFonts w:ascii="宋体" w:hAnsi="宋体" w:cs="宋体"/>
                <w:b/>
                <w:szCs w:val="21"/>
              </w:rPr>
            </w:pPr>
            <w:r>
              <w:rPr>
                <w:rFonts w:hint="eastAsia" w:ascii="宋体" w:hAnsi="宋体" w:cs="宋体"/>
                <w:b/>
                <w:szCs w:val="21"/>
              </w:rPr>
              <w:t>得分</w:t>
            </w:r>
          </w:p>
        </w:tc>
      </w:tr>
      <w:tr w14:paraId="1A260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45" w:type="pct"/>
            <w:vMerge w:val="restart"/>
            <w:tcBorders>
              <w:top w:val="single" w:color="auto" w:sz="4" w:space="0"/>
              <w:left w:val="single" w:color="auto" w:sz="4" w:space="0"/>
              <w:bottom w:val="nil"/>
              <w:right w:val="single" w:color="auto" w:sz="4" w:space="0"/>
            </w:tcBorders>
            <w:vAlign w:val="center"/>
          </w:tcPr>
          <w:p w14:paraId="50561D64">
            <w:pPr>
              <w:spacing w:line="360" w:lineRule="exact"/>
              <w:jc w:val="center"/>
              <w:rPr>
                <w:rFonts w:ascii="宋体" w:hAnsi="宋体" w:cs="宋体"/>
                <w:szCs w:val="21"/>
              </w:rPr>
            </w:pPr>
            <w:r>
              <w:rPr>
                <w:rFonts w:hint="eastAsia" w:ascii="宋体" w:hAnsi="宋体" w:cs="宋体"/>
                <w:szCs w:val="21"/>
              </w:rPr>
              <w:t>第一</w:t>
            </w:r>
          </w:p>
          <w:p w14:paraId="597BF576">
            <w:pPr>
              <w:spacing w:line="360" w:lineRule="exact"/>
              <w:jc w:val="center"/>
              <w:rPr>
                <w:rFonts w:ascii="宋体" w:hAnsi="宋体" w:cs="宋体"/>
                <w:szCs w:val="21"/>
              </w:rPr>
            </w:pPr>
            <w:r>
              <w:rPr>
                <w:rFonts w:hint="eastAsia" w:ascii="宋体" w:hAnsi="宋体" w:cs="宋体"/>
                <w:szCs w:val="21"/>
              </w:rPr>
              <w:t>部分</w:t>
            </w:r>
          </w:p>
          <w:p w14:paraId="67161944">
            <w:pPr>
              <w:pStyle w:val="337"/>
              <w:spacing w:line="360" w:lineRule="exact"/>
              <w:rPr>
                <w:rFonts w:ascii="宋体" w:hAnsi="宋体" w:cs="宋体"/>
                <w:kern w:val="2"/>
                <w:sz w:val="21"/>
                <w:szCs w:val="21"/>
              </w:rPr>
            </w:pPr>
          </w:p>
          <w:p w14:paraId="1FF11ED9">
            <w:pPr>
              <w:spacing w:line="360" w:lineRule="exact"/>
              <w:jc w:val="center"/>
              <w:rPr>
                <w:rFonts w:ascii="宋体" w:hAnsi="宋体" w:cs="宋体"/>
                <w:szCs w:val="21"/>
              </w:rPr>
            </w:pPr>
            <w:r>
              <w:rPr>
                <w:rFonts w:hint="eastAsia" w:ascii="宋体" w:hAnsi="宋体" w:cs="宋体"/>
                <w:szCs w:val="21"/>
              </w:rPr>
              <w:t>日常</w:t>
            </w:r>
          </w:p>
          <w:p w14:paraId="60BEB974">
            <w:pPr>
              <w:spacing w:line="360" w:lineRule="exact"/>
              <w:jc w:val="center"/>
              <w:rPr>
                <w:rFonts w:ascii="宋体" w:hAnsi="宋体" w:cs="宋体"/>
                <w:szCs w:val="21"/>
              </w:rPr>
            </w:pPr>
            <w:r>
              <w:rPr>
                <w:rFonts w:hint="eastAsia" w:ascii="宋体" w:hAnsi="宋体" w:cs="宋体"/>
                <w:szCs w:val="21"/>
              </w:rPr>
              <w:t>工作</w:t>
            </w:r>
          </w:p>
          <w:p w14:paraId="2CA769F2">
            <w:pPr>
              <w:spacing w:line="360" w:lineRule="exact"/>
              <w:jc w:val="center"/>
              <w:rPr>
                <w:rFonts w:ascii="宋体" w:hAnsi="宋体" w:cs="宋体"/>
                <w:szCs w:val="21"/>
              </w:rPr>
            </w:pPr>
            <w:r>
              <w:rPr>
                <w:rFonts w:hint="eastAsia" w:ascii="宋体" w:hAnsi="宋体" w:cs="宋体"/>
                <w:szCs w:val="21"/>
              </w:rPr>
              <w:t>（60分）</w:t>
            </w:r>
          </w:p>
        </w:tc>
        <w:tc>
          <w:tcPr>
            <w:tcW w:w="562" w:type="pct"/>
            <w:vMerge w:val="restart"/>
            <w:tcBorders>
              <w:top w:val="single" w:color="auto" w:sz="4" w:space="0"/>
              <w:left w:val="single" w:color="auto" w:sz="4" w:space="0"/>
              <w:bottom w:val="single" w:color="auto" w:sz="4" w:space="0"/>
              <w:right w:val="single" w:color="auto" w:sz="4" w:space="0"/>
            </w:tcBorders>
            <w:vAlign w:val="center"/>
          </w:tcPr>
          <w:p w14:paraId="33C52915">
            <w:pPr>
              <w:spacing w:line="360" w:lineRule="exact"/>
              <w:jc w:val="center"/>
              <w:rPr>
                <w:rFonts w:ascii="宋体" w:hAnsi="宋体" w:cs="宋体"/>
                <w:szCs w:val="21"/>
              </w:rPr>
            </w:pPr>
            <w:r>
              <w:rPr>
                <w:rFonts w:hint="eastAsia" w:ascii="宋体" w:hAnsi="宋体" w:cs="宋体"/>
                <w:szCs w:val="21"/>
              </w:rPr>
              <w:t>抽检</w:t>
            </w:r>
          </w:p>
          <w:p w14:paraId="712A6C38">
            <w:pPr>
              <w:spacing w:line="360" w:lineRule="exact"/>
              <w:jc w:val="center"/>
              <w:rPr>
                <w:rFonts w:ascii="宋体" w:hAnsi="宋体" w:cs="宋体"/>
                <w:szCs w:val="21"/>
              </w:rPr>
            </w:pPr>
            <w:r>
              <w:rPr>
                <w:rFonts w:hint="eastAsia" w:ascii="宋体" w:hAnsi="宋体" w:cs="宋体"/>
                <w:szCs w:val="21"/>
              </w:rPr>
              <w:t>规范</w:t>
            </w:r>
          </w:p>
          <w:p w14:paraId="10CAC1A3">
            <w:pPr>
              <w:spacing w:line="360" w:lineRule="exact"/>
              <w:jc w:val="center"/>
              <w:rPr>
                <w:rFonts w:ascii="宋体" w:hAnsi="宋体" w:cs="宋体"/>
                <w:szCs w:val="21"/>
              </w:rPr>
            </w:pPr>
            <w:r>
              <w:rPr>
                <w:rFonts w:hint="eastAsia" w:ascii="宋体" w:hAnsi="宋体" w:cs="宋体"/>
                <w:szCs w:val="21"/>
              </w:rPr>
              <w:t>（10分）</w:t>
            </w:r>
          </w:p>
        </w:tc>
        <w:tc>
          <w:tcPr>
            <w:tcW w:w="3189" w:type="pct"/>
            <w:tcBorders>
              <w:top w:val="single" w:color="auto" w:sz="4" w:space="0"/>
              <w:left w:val="single" w:color="auto" w:sz="4" w:space="0"/>
              <w:bottom w:val="single" w:color="auto" w:sz="4" w:space="0"/>
              <w:right w:val="single" w:color="auto" w:sz="4" w:space="0"/>
            </w:tcBorders>
            <w:vAlign w:val="center"/>
          </w:tcPr>
          <w:p w14:paraId="402324D3">
            <w:pPr>
              <w:spacing w:line="360" w:lineRule="exact"/>
              <w:jc w:val="left"/>
              <w:rPr>
                <w:rFonts w:ascii="宋体" w:hAnsi="宋体" w:cs="宋体"/>
                <w:color w:val="000000"/>
                <w:szCs w:val="21"/>
              </w:rPr>
            </w:pPr>
            <w:r>
              <w:rPr>
                <w:rFonts w:hint="eastAsia" w:ascii="宋体" w:hAnsi="宋体" w:cs="宋体"/>
                <w:color w:val="000000"/>
                <w:szCs w:val="21"/>
              </w:rPr>
              <w:t>1.食品安全抽样人员应当具备抽样资质，配合经开区市场监督管理局积极开展抽检工作。4分</w:t>
            </w:r>
          </w:p>
        </w:tc>
        <w:tc>
          <w:tcPr>
            <w:tcW w:w="363" w:type="pct"/>
            <w:tcBorders>
              <w:top w:val="single" w:color="auto" w:sz="4" w:space="0"/>
              <w:left w:val="single" w:color="auto" w:sz="4" w:space="0"/>
              <w:bottom w:val="single" w:color="auto" w:sz="4" w:space="0"/>
              <w:right w:val="single" w:color="auto" w:sz="4" w:space="0"/>
            </w:tcBorders>
            <w:vAlign w:val="center"/>
          </w:tcPr>
          <w:p w14:paraId="2126A57E">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7174606B">
            <w:pPr>
              <w:spacing w:line="360" w:lineRule="exact"/>
              <w:rPr>
                <w:rFonts w:ascii="宋体" w:hAnsi="宋体" w:cs="宋体"/>
                <w:szCs w:val="21"/>
              </w:rPr>
            </w:pPr>
          </w:p>
        </w:tc>
      </w:tr>
      <w:tr w14:paraId="0487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nil"/>
              <w:right w:val="single" w:color="auto" w:sz="4" w:space="0"/>
            </w:tcBorders>
            <w:vAlign w:val="center"/>
          </w:tcPr>
          <w:p w14:paraId="4544BAD1">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67903D0">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160DE5E9">
            <w:pPr>
              <w:spacing w:line="360" w:lineRule="exact"/>
              <w:rPr>
                <w:rFonts w:ascii="宋体" w:hAnsi="宋体" w:cs="宋体"/>
                <w:color w:val="000000"/>
                <w:szCs w:val="21"/>
              </w:rPr>
            </w:pPr>
            <w:r>
              <w:rPr>
                <w:rFonts w:hint="eastAsia" w:ascii="宋体" w:hAnsi="宋体" w:cs="宋体"/>
                <w:color w:val="000000"/>
                <w:szCs w:val="21"/>
              </w:rPr>
              <w:t>2.在执行经开区市场监督管理局委托的食品安全抽样工作时，必须佩戴工牌，规范礼仪礼貌。3分</w:t>
            </w:r>
          </w:p>
        </w:tc>
        <w:tc>
          <w:tcPr>
            <w:tcW w:w="363" w:type="pct"/>
            <w:tcBorders>
              <w:top w:val="single" w:color="auto" w:sz="4" w:space="0"/>
              <w:left w:val="single" w:color="auto" w:sz="4" w:space="0"/>
              <w:bottom w:val="single" w:color="auto" w:sz="4" w:space="0"/>
              <w:right w:val="single" w:color="auto" w:sz="4" w:space="0"/>
            </w:tcBorders>
            <w:vAlign w:val="center"/>
          </w:tcPr>
          <w:p w14:paraId="6CDBCEAB">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728644E2">
            <w:pPr>
              <w:spacing w:line="360" w:lineRule="exact"/>
              <w:rPr>
                <w:rFonts w:ascii="宋体" w:hAnsi="宋体" w:cs="宋体"/>
                <w:szCs w:val="21"/>
              </w:rPr>
            </w:pPr>
          </w:p>
        </w:tc>
      </w:tr>
      <w:tr w14:paraId="7CEF6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nil"/>
              <w:right w:val="single" w:color="auto" w:sz="4" w:space="0"/>
            </w:tcBorders>
            <w:vAlign w:val="center"/>
          </w:tcPr>
          <w:p w14:paraId="7E6F8761">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DE9A47C">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38C982E8">
            <w:pPr>
              <w:spacing w:line="360" w:lineRule="exact"/>
              <w:rPr>
                <w:rFonts w:ascii="宋体" w:hAnsi="宋体" w:cs="宋体"/>
                <w:szCs w:val="21"/>
              </w:rPr>
            </w:pPr>
            <w:r>
              <w:rPr>
                <w:rFonts w:hint="eastAsia" w:ascii="宋体" w:hAnsi="宋体" w:cs="宋体"/>
                <w:szCs w:val="21"/>
              </w:rPr>
              <w:t>3.现场抽样程序、方法、文书撰写符合食品安全风险评估中心编制的《食品安全抽检抽样人员工作手册》。3分</w:t>
            </w:r>
          </w:p>
        </w:tc>
        <w:tc>
          <w:tcPr>
            <w:tcW w:w="363" w:type="pct"/>
            <w:tcBorders>
              <w:top w:val="single" w:color="auto" w:sz="4" w:space="0"/>
              <w:left w:val="single" w:color="auto" w:sz="4" w:space="0"/>
              <w:bottom w:val="single" w:color="auto" w:sz="4" w:space="0"/>
              <w:right w:val="single" w:color="auto" w:sz="4" w:space="0"/>
            </w:tcBorders>
            <w:vAlign w:val="center"/>
          </w:tcPr>
          <w:p w14:paraId="33F27AF5">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74D46FA5">
            <w:pPr>
              <w:spacing w:line="360" w:lineRule="exact"/>
              <w:rPr>
                <w:rFonts w:ascii="宋体" w:hAnsi="宋体" w:cs="宋体"/>
                <w:szCs w:val="21"/>
              </w:rPr>
            </w:pPr>
          </w:p>
        </w:tc>
      </w:tr>
      <w:tr w14:paraId="19C27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nil"/>
              <w:right w:val="single" w:color="auto" w:sz="4" w:space="0"/>
            </w:tcBorders>
            <w:vAlign w:val="center"/>
          </w:tcPr>
          <w:p w14:paraId="457843F1">
            <w:pPr>
              <w:widowControl/>
              <w:jc w:val="left"/>
              <w:rPr>
                <w:rFonts w:ascii="宋体" w:hAnsi="宋体" w:cs="宋体"/>
                <w:szCs w:val="21"/>
              </w:rPr>
            </w:pPr>
          </w:p>
        </w:tc>
        <w:tc>
          <w:tcPr>
            <w:tcW w:w="562" w:type="pct"/>
            <w:vMerge w:val="restart"/>
            <w:tcBorders>
              <w:top w:val="single" w:color="auto" w:sz="4" w:space="0"/>
              <w:left w:val="single" w:color="auto" w:sz="4" w:space="0"/>
              <w:bottom w:val="single" w:color="auto" w:sz="4" w:space="0"/>
              <w:right w:val="single" w:color="auto" w:sz="4" w:space="0"/>
            </w:tcBorders>
            <w:vAlign w:val="center"/>
          </w:tcPr>
          <w:p w14:paraId="673D633E">
            <w:pPr>
              <w:spacing w:line="360" w:lineRule="exact"/>
              <w:jc w:val="center"/>
              <w:rPr>
                <w:rFonts w:ascii="宋体" w:hAnsi="宋体" w:cs="宋体"/>
                <w:szCs w:val="21"/>
              </w:rPr>
            </w:pPr>
            <w:r>
              <w:rPr>
                <w:rFonts w:hint="eastAsia" w:ascii="宋体" w:hAnsi="宋体" w:cs="宋体"/>
                <w:szCs w:val="21"/>
              </w:rPr>
              <w:t>数据</w:t>
            </w:r>
          </w:p>
          <w:p w14:paraId="7C1CA7FD">
            <w:pPr>
              <w:spacing w:line="360" w:lineRule="exact"/>
              <w:jc w:val="center"/>
              <w:rPr>
                <w:rFonts w:ascii="宋体" w:hAnsi="宋体" w:cs="宋体"/>
                <w:szCs w:val="21"/>
              </w:rPr>
            </w:pPr>
            <w:r>
              <w:rPr>
                <w:rFonts w:hint="eastAsia" w:ascii="宋体" w:hAnsi="宋体" w:cs="宋体"/>
                <w:szCs w:val="21"/>
              </w:rPr>
              <w:t>报送</w:t>
            </w:r>
          </w:p>
          <w:p w14:paraId="2D22C6B0">
            <w:pPr>
              <w:spacing w:line="360" w:lineRule="exact"/>
              <w:jc w:val="center"/>
              <w:rPr>
                <w:rFonts w:ascii="宋体" w:hAnsi="宋体" w:cs="宋体"/>
                <w:szCs w:val="21"/>
              </w:rPr>
            </w:pPr>
            <w:r>
              <w:rPr>
                <w:rFonts w:hint="eastAsia" w:ascii="宋体" w:hAnsi="宋体" w:cs="宋体"/>
                <w:szCs w:val="21"/>
              </w:rPr>
              <w:t>（40分）</w:t>
            </w:r>
          </w:p>
        </w:tc>
        <w:tc>
          <w:tcPr>
            <w:tcW w:w="3189" w:type="pct"/>
            <w:tcBorders>
              <w:top w:val="single" w:color="auto" w:sz="4" w:space="0"/>
              <w:left w:val="single" w:color="auto" w:sz="4" w:space="0"/>
              <w:bottom w:val="single" w:color="auto" w:sz="4" w:space="0"/>
              <w:right w:val="single" w:color="auto" w:sz="4" w:space="0"/>
            </w:tcBorders>
            <w:vAlign w:val="center"/>
          </w:tcPr>
          <w:p w14:paraId="7C792583">
            <w:pPr>
              <w:pStyle w:val="462"/>
              <w:rPr>
                <w:rFonts w:ascii="宋体" w:hAnsi="宋体" w:eastAsia="宋体" w:cs="宋体"/>
                <w:color w:val="auto"/>
              </w:rPr>
            </w:pPr>
            <w:r>
              <w:rPr>
                <w:rFonts w:hint="eastAsia" w:ascii="宋体" w:hAnsi="宋体" w:eastAsia="宋体" w:cs="宋体"/>
                <w:color w:val="auto"/>
              </w:rPr>
              <w:t>1.能够按照抽检进度完成月度指标，并及时将数据按规定格式、抽检情况上报区市场监督管理局食品科。</w:t>
            </w:r>
          </w:p>
          <w:p w14:paraId="041B48B9">
            <w:pPr>
              <w:pStyle w:val="462"/>
              <w:rPr>
                <w:rFonts w:ascii="宋体" w:hAnsi="宋体" w:eastAsia="宋体" w:cs="宋体"/>
                <w:color w:val="auto"/>
              </w:rPr>
            </w:pPr>
            <w:r>
              <w:rPr>
                <w:rFonts w:hint="eastAsia" w:ascii="宋体" w:hAnsi="宋体" w:eastAsia="宋体" w:cs="宋体"/>
                <w:color w:val="auto"/>
              </w:rPr>
              <w:t>（5分，未按进度一次扣0.5分，格式不符合一次扣0.5分）</w:t>
            </w:r>
          </w:p>
        </w:tc>
        <w:tc>
          <w:tcPr>
            <w:tcW w:w="363" w:type="pct"/>
            <w:tcBorders>
              <w:top w:val="single" w:color="auto" w:sz="4" w:space="0"/>
              <w:left w:val="single" w:color="auto" w:sz="4" w:space="0"/>
              <w:bottom w:val="single" w:color="auto" w:sz="4" w:space="0"/>
              <w:right w:val="single" w:color="auto" w:sz="4" w:space="0"/>
            </w:tcBorders>
            <w:vAlign w:val="center"/>
          </w:tcPr>
          <w:p w14:paraId="53AFCF52">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29F44FF8">
            <w:pPr>
              <w:spacing w:line="360" w:lineRule="exact"/>
              <w:rPr>
                <w:rFonts w:ascii="宋体" w:hAnsi="宋体" w:cs="宋体"/>
                <w:szCs w:val="21"/>
              </w:rPr>
            </w:pPr>
          </w:p>
        </w:tc>
      </w:tr>
      <w:tr w14:paraId="628A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nil"/>
              <w:right w:val="single" w:color="auto" w:sz="4" w:space="0"/>
            </w:tcBorders>
            <w:vAlign w:val="center"/>
          </w:tcPr>
          <w:p w14:paraId="462423F9">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F6B2EBE">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33835F76">
            <w:pPr>
              <w:spacing w:line="360" w:lineRule="exact"/>
              <w:rPr>
                <w:rFonts w:ascii="宋体" w:hAnsi="宋体" w:cs="宋体"/>
                <w:szCs w:val="21"/>
              </w:rPr>
            </w:pPr>
            <w:r>
              <w:rPr>
                <w:rFonts w:hint="eastAsia" w:ascii="宋体" w:hAnsi="宋体" w:cs="宋体"/>
                <w:szCs w:val="21"/>
              </w:rPr>
              <w:t>2.自收到样品之日起20个工作日内出具检验报告并按时上传国抽系统。</w:t>
            </w:r>
            <w:r>
              <w:rPr>
                <w:rFonts w:hint="eastAsia" w:ascii="宋体" w:hAnsi="宋体" w:cs="宋体"/>
                <w:szCs w:val="21"/>
                <w:lang w:val="zh-CN"/>
              </w:rPr>
              <w:t>检验结论不合格的，应当在检验结论作出后2</w:t>
            </w:r>
            <w:r>
              <w:rPr>
                <w:rFonts w:hint="eastAsia" w:ascii="宋体" w:hAnsi="宋体" w:cs="宋体"/>
                <w:color w:val="000000"/>
                <w:szCs w:val="21"/>
                <w:lang w:val="zh-CN"/>
              </w:rPr>
              <w:t>个工作日内报告</w:t>
            </w:r>
            <w:r>
              <w:rPr>
                <w:rFonts w:hint="eastAsia" w:ascii="宋体" w:hAnsi="宋体" w:cs="宋体"/>
              </w:rPr>
              <w:t>市场监督管理局食品科</w:t>
            </w:r>
            <w:r>
              <w:rPr>
                <w:rFonts w:hint="eastAsia" w:ascii="宋体" w:hAnsi="宋体" w:cs="宋体"/>
                <w:color w:val="000000"/>
                <w:szCs w:val="21"/>
              </w:rPr>
              <w:t>。</w:t>
            </w:r>
            <w:r>
              <w:rPr>
                <w:rFonts w:hint="eastAsia" w:ascii="宋体" w:hAnsi="宋体" w:cs="宋体"/>
                <w:color w:val="000000"/>
                <w:szCs w:val="21"/>
                <w:lang w:val="zh-CN"/>
              </w:rPr>
              <w:t>（</w:t>
            </w:r>
            <w:r>
              <w:rPr>
                <w:rFonts w:hint="eastAsia" w:ascii="宋体" w:hAnsi="宋体" w:cs="宋体"/>
                <w:szCs w:val="21"/>
              </w:rPr>
              <w:t>5</w:t>
            </w:r>
            <w:r>
              <w:rPr>
                <w:rFonts w:hint="eastAsia" w:ascii="宋体" w:hAnsi="宋体" w:cs="宋体"/>
                <w:szCs w:val="21"/>
                <w:lang w:val="zh-CN"/>
              </w:rPr>
              <w:t>分，未按进度一次扣1分，格式不符合一次扣1分）</w:t>
            </w:r>
          </w:p>
        </w:tc>
        <w:tc>
          <w:tcPr>
            <w:tcW w:w="363" w:type="pct"/>
            <w:tcBorders>
              <w:top w:val="single" w:color="auto" w:sz="4" w:space="0"/>
              <w:left w:val="single" w:color="auto" w:sz="4" w:space="0"/>
              <w:bottom w:val="single" w:color="auto" w:sz="4" w:space="0"/>
              <w:right w:val="single" w:color="auto" w:sz="4" w:space="0"/>
            </w:tcBorders>
            <w:vAlign w:val="center"/>
          </w:tcPr>
          <w:p w14:paraId="4DA6C6E2">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26691A8A">
            <w:pPr>
              <w:spacing w:line="360" w:lineRule="exact"/>
              <w:rPr>
                <w:rFonts w:ascii="宋体" w:hAnsi="宋体" w:cs="宋体"/>
                <w:szCs w:val="21"/>
              </w:rPr>
            </w:pPr>
          </w:p>
        </w:tc>
      </w:tr>
      <w:tr w14:paraId="5F5E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nil"/>
              <w:right w:val="single" w:color="auto" w:sz="4" w:space="0"/>
            </w:tcBorders>
            <w:vAlign w:val="center"/>
          </w:tcPr>
          <w:p w14:paraId="3AFF3496">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E95141E">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7C4533C3">
            <w:pPr>
              <w:spacing w:line="360" w:lineRule="exact"/>
              <w:rPr>
                <w:rFonts w:ascii="宋体" w:hAnsi="宋体" w:cs="宋体"/>
                <w:szCs w:val="21"/>
              </w:rPr>
            </w:pPr>
            <w:r>
              <w:rPr>
                <w:rFonts w:hint="eastAsia" w:ascii="宋体" w:hAnsi="宋体" w:cs="宋体"/>
                <w:szCs w:val="21"/>
              </w:rPr>
              <w:t>3.国抽系统数据质量问题被省、市局通报。（20分，省局通报一次扣4分，市局通报一次扣2分）</w:t>
            </w:r>
          </w:p>
        </w:tc>
        <w:tc>
          <w:tcPr>
            <w:tcW w:w="363" w:type="pct"/>
            <w:tcBorders>
              <w:top w:val="single" w:color="auto" w:sz="4" w:space="0"/>
              <w:left w:val="single" w:color="auto" w:sz="4" w:space="0"/>
              <w:bottom w:val="single" w:color="auto" w:sz="4" w:space="0"/>
              <w:right w:val="single" w:color="auto" w:sz="4" w:space="0"/>
            </w:tcBorders>
            <w:vAlign w:val="center"/>
          </w:tcPr>
          <w:p w14:paraId="17FFD9B2">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65407B65">
            <w:pPr>
              <w:spacing w:line="360" w:lineRule="exact"/>
              <w:rPr>
                <w:rFonts w:ascii="宋体" w:hAnsi="宋体" w:cs="宋体"/>
                <w:szCs w:val="21"/>
              </w:rPr>
            </w:pPr>
          </w:p>
        </w:tc>
      </w:tr>
      <w:tr w14:paraId="03E4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nil"/>
              <w:right w:val="single" w:color="auto" w:sz="4" w:space="0"/>
            </w:tcBorders>
            <w:vAlign w:val="center"/>
          </w:tcPr>
          <w:p w14:paraId="4FC70DCD">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FA0D0F0">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45974D0F">
            <w:pPr>
              <w:spacing w:line="360" w:lineRule="exact"/>
              <w:rPr>
                <w:rFonts w:ascii="宋体" w:hAnsi="宋体" w:cs="宋体"/>
                <w:szCs w:val="21"/>
              </w:rPr>
            </w:pPr>
            <w:r>
              <w:rPr>
                <w:rFonts w:hint="eastAsia" w:ascii="宋体" w:hAnsi="宋体" w:cs="宋体"/>
                <w:szCs w:val="21"/>
              </w:rPr>
              <w:t>4.数据上传国抽系统不得出现误传、乱传现象。（5分，发现一次扣1分）。</w:t>
            </w:r>
          </w:p>
        </w:tc>
        <w:tc>
          <w:tcPr>
            <w:tcW w:w="363" w:type="pct"/>
            <w:tcBorders>
              <w:top w:val="single" w:color="auto" w:sz="4" w:space="0"/>
              <w:left w:val="single" w:color="auto" w:sz="4" w:space="0"/>
              <w:bottom w:val="single" w:color="auto" w:sz="4" w:space="0"/>
              <w:right w:val="single" w:color="auto" w:sz="4" w:space="0"/>
            </w:tcBorders>
            <w:vAlign w:val="center"/>
          </w:tcPr>
          <w:p w14:paraId="3288A34B">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3CD37941">
            <w:pPr>
              <w:spacing w:line="360" w:lineRule="exact"/>
              <w:rPr>
                <w:rFonts w:ascii="宋体" w:hAnsi="宋体" w:cs="宋体"/>
                <w:szCs w:val="21"/>
              </w:rPr>
            </w:pPr>
          </w:p>
        </w:tc>
      </w:tr>
      <w:tr w14:paraId="59CA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45" w:type="pct"/>
            <w:vMerge w:val="restart"/>
            <w:tcBorders>
              <w:top w:val="nil"/>
              <w:left w:val="single" w:color="auto" w:sz="4" w:space="0"/>
              <w:bottom w:val="single" w:color="auto" w:sz="4" w:space="0"/>
              <w:right w:val="single" w:color="auto" w:sz="4" w:space="0"/>
            </w:tcBorders>
            <w:vAlign w:val="center"/>
          </w:tcPr>
          <w:p w14:paraId="456D9625">
            <w:pPr>
              <w:spacing w:line="360" w:lineRule="exact"/>
              <w:jc w:val="center"/>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1E803B1">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3CF25B7D">
            <w:pPr>
              <w:spacing w:line="360" w:lineRule="exact"/>
              <w:rPr>
                <w:rFonts w:ascii="宋体" w:hAnsi="宋体" w:cs="宋体"/>
                <w:szCs w:val="21"/>
              </w:rPr>
            </w:pPr>
            <w:r>
              <w:rPr>
                <w:rFonts w:hint="eastAsia" w:ascii="宋体" w:hAnsi="宋体" w:cs="宋体"/>
                <w:szCs w:val="21"/>
              </w:rPr>
              <w:t>5.不合格报告复检被推翻。（5分，有一项扣1分）</w:t>
            </w:r>
          </w:p>
        </w:tc>
        <w:tc>
          <w:tcPr>
            <w:tcW w:w="363" w:type="pct"/>
            <w:tcBorders>
              <w:top w:val="single" w:color="auto" w:sz="4" w:space="0"/>
              <w:left w:val="single" w:color="auto" w:sz="4" w:space="0"/>
              <w:bottom w:val="single" w:color="auto" w:sz="4" w:space="0"/>
              <w:right w:val="single" w:color="auto" w:sz="4" w:space="0"/>
            </w:tcBorders>
            <w:vAlign w:val="center"/>
          </w:tcPr>
          <w:p w14:paraId="2541468B">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5090D063">
            <w:pPr>
              <w:spacing w:line="360" w:lineRule="exact"/>
              <w:rPr>
                <w:rFonts w:ascii="宋体" w:hAnsi="宋体" w:cs="宋体"/>
                <w:szCs w:val="21"/>
              </w:rPr>
            </w:pPr>
          </w:p>
        </w:tc>
      </w:tr>
      <w:tr w14:paraId="6FCE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nil"/>
              <w:left w:val="single" w:color="auto" w:sz="4" w:space="0"/>
              <w:bottom w:val="single" w:color="auto" w:sz="4" w:space="0"/>
              <w:right w:val="single" w:color="auto" w:sz="4" w:space="0"/>
            </w:tcBorders>
            <w:vAlign w:val="center"/>
          </w:tcPr>
          <w:p w14:paraId="229805ED">
            <w:pPr>
              <w:widowControl/>
              <w:jc w:val="left"/>
              <w:rPr>
                <w:rFonts w:ascii="宋体" w:hAnsi="宋体" w:cs="宋体"/>
                <w:szCs w:val="21"/>
              </w:rPr>
            </w:pPr>
          </w:p>
        </w:tc>
        <w:tc>
          <w:tcPr>
            <w:tcW w:w="562" w:type="pct"/>
            <w:vMerge w:val="restart"/>
            <w:tcBorders>
              <w:top w:val="single" w:color="auto" w:sz="4" w:space="0"/>
              <w:left w:val="single" w:color="auto" w:sz="4" w:space="0"/>
              <w:bottom w:val="single" w:color="auto" w:sz="4" w:space="0"/>
              <w:right w:val="single" w:color="auto" w:sz="4" w:space="0"/>
            </w:tcBorders>
            <w:vAlign w:val="center"/>
          </w:tcPr>
          <w:p w14:paraId="3A8B6209">
            <w:pPr>
              <w:spacing w:line="360" w:lineRule="exact"/>
              <w:jc w:val="center"/>
              <w:rPr>
                <w:rFonts w:ascii="宋体" w:hAnsi="宋体" w:cs="宋体"/>
                <w:szCs w:val="21"/>
              </w:rPr>
            </w:pPr>
            <w:r>
              <w:rPr>
                <w:rFonts w:hint="eastAsia" w:ascii="宋体" w:hAnsi="宋体" w:cs="宋体"/>
                <w:szCs w:val="21"/>
              </w:rPr>
              <w:t>伴随性</w:t>
            </w:r>
          </w:p>
          <w:p w14:paraId="29912444">
            <w:pPr>
              <w:spacing w:line="360" w:lineRule="exact"/>
              <w:jc w:val="center"/>
              <w:rPr>
                <w:rFonts w:ascii="宋体" w:hAnsi="宋体" w:cs="宋体"/>
                <w:szCs w:val="21"/>
              </w:rPr>
            </w:pPr>
            <w:r>
              <w:rPr>
                <w:rFonts w:hint="eastAsia" w:ascii="宋体" w:hAnsi="宋体" w:cs="宋体"/>
                <w:szCs w:val="21"/>
              </w:rPr>
              <w:t>服务</w:t>
            </w:r>
          </w:p>
          <w:p w14:paraId="45EF326E">
            <w:pPr>
              <w:spacing w:line="360" w:lineRule="exact"/>
              <w:jc w:val="center"/>
              <w:rPr>
                <w:rFonts w:ascii="宋体" w:hAnsi="宋体" w:cs="宋体"/>
                <w:szCs w:val="21"/>
              </w:rPr>
            </w:pPr>
            <w:r>
              <w:rPr>
                <w:rFonts w:hint="eastAsia" w:ascii="宋体" w:hAnsi="宋体" w:cs="宋体"/>
                <w:szCs w:val="21"/>
              </w:rPr>
              <w:t>（10分）</w:t>
            </w:r>
          </w:p>
        </w:tc>
        <w:tc>
          <w:tcPr>
            <w:tcW w:w="3189" w:type="pct"/>
            <w:tcBorders>
              <w:top w:val="single" w:color="auto" w:sz="4" w:space="0"/>
              <w:left w:val="single" w:color="auto" w:sz="4" w:space="0"/>
              <w:bottom w:val="single" w:color="auto" w:sz="4" w:space="0"/>
              <w:right w:val="single" w:color="auto" w:sz="4" w:space="0"/>
            </w:tcBorders>
            <w:vAlign w:val="center"/>
          </w:tcPr>
          <w:p w14:paraId="1D64BD3D">
            <w:pPr>
              <w:spacing w:line="360" w:lineRule="exact"/>
              <w:rPr>
                <w:rFonts w:ascii="宋体" w:hAnsi="宋体" w:cs="宋体"/>
                <w:szCs w:val="21"/>
              </w:rPr>
            </w:pPr>
            <w:r>
              <w:rPr>
                <w:rFonts w:hint="eastAsia" w:ascii="宋体" w:hAnsi="宋体" w:cs="宋体"/>
                <w:szCs w:val="21"/>
              </w:rPr>
              <w:t>1.成交供应商为</w:t>
            </w:r>
            <w:r>
              <w:rPr>
                <w:rFonts w:hint="eastAsia" w:ascii="宋体" w:hAnsi="宋体" w:cs="宋体"/>
                <w:color w:val="000000"/>
                <w:szCs w:val="21"/>
              </w:rPr>
              <w:t>经开区市场监督管理局</w:t>
            </w:r>
            <w:r>
              <w:rPr>
                <w:rFonts w:hint="eastAsia" w:ascii="宋体" w:hAnsi="宋体" w:cs="宋体"/>
                <w:szCs w:val="21"/>
              </w:rPr>
              <w:t>提供免费培训一次以上。（5分）</w:t>
            </w:r>
          </w:p>
        </w:tc>
        <w:tc>
          <w:tcPr>
            <w:tcW w:w="363" w:type="pct"/>
            <w:tcBorders>
              <w:top w:val="single" w:color="auto" w:sz="4" w:space="0"/>
              <w:left w:val="single" w:color="auto" w:sz="4" w:space="0"/>
              <w:bottom w:val="single" w:color="auto" w:sz="4" w:space="0"/>
              <w:right w:val="single" w:color="auto" w:sz="4" w:space="0"/>
            </w:tcBorders>
            <w:vAlign w:val="center"/>
          </w:tcPr>
          <w:p w14:paraId="04434159">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0E1DFFE0">
            <w:pPr>
              <w:spacing w:line="360" w:lineRule="exact"/>
              <w:rPr>
                <w:rFonts w:ascii="宋体" w:hAnsi="宋体" w:cs="宋体"/>
                <w:szCs w:val="21"/>
              </w:rPr>
            </w:pPr>
          </w:p>
        </w:tc>
      </w:tr>
      <w:tr w14:paraId="3D8F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nil"/>
              <w:left w:val="single" w:color="auto" w:sz="4" w:space="0"/>
              <w:bottom w:val="single" w:color="auto" w:sz="4" w:space="0"/>
              <w:right w:val="single" w:color="auto" w:sz="4" w:space="0"/>
            </w:tcBorders>
            <w:vAlign w:val="center"/>
          </w:tcPr>
          <w:p w14:paraId="25721827">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1FB5DC7">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41B8EDDD">
            <w:pPr>
              <w:spacing w:line="360" w:lineRule="exact"/>
              <w:rPr>
                <w:rFonts w:ascii="宋体" w:hAnsi="宋体" w:cs="宋体"/>
                <w:szCs w:val="21"/>
              </w:rPr>
            </w:pPr>
            <w:r>
              <w:rPr>
                <w:rFonts w:hint="eastAsia" w:ascii="宋体" w:hAnsi="宋体" w:cs="宋体"/>
                <w:szCs w:val="21"/>
              </w:rPr>
              <w:t>2.成交供应商为</w:t>
            </w:r>
            <w:r>
              <w:rPr>
                <w:rFonts w:hint="eastAsia" w:ascii="宋体" w:hAnsi="宋体" w:cs="宋体"/>
                <w:color w:val="000000"/>
                <w:szCs w:val="21"/>
              </w:rPr>
              <w:t>经开区市场监督管理局</w:t>
            </w:r>
            <w:r>
              <w:rPr>
                <w:rFonts w:hint="eastAsia" w:ascii="宋体" w:hAnsi="宋体" w:cs="宋体"/>
                <w:szCs w:val="21"/>
              </w:rPr>
              <w:t>提供标准、法规类咨询服务，协助开展食品安全宣传活动。（1次1分，上限5分）</w:t>
            </w:r>
          </w:p>
        </w:tc>
        <w:tc>
          <w:tcPr>
            <w:tcW w:w="363" w:type="pct"/>
            <w:tcBorders>
              <w:top w:val="single" w:color="auto" w:sz="4" w:space="0"/>
              <w:left w:val="single" w:color="auto" w:sz="4" w:space="0"/>
              <w:bottom w:val="single" w:color="auto" w:sz="4" w:space="0"/>
              <w:right w:val="single" w:color="auto" w:sz="4" w:space="0"/>
            </w:tcBorders>
            <w:vAlign w:val="center"/>
          </w:tcPr>
          <w:p w14:paraId="70502BFA">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3FBBBA99">
            <w:pPr>
              <w:spacing w:line="360" w:lineRule="exact"/>
              <w:rPr>
                <w:rFonts w:ascii="宋体" w:hAnsi="宋体" w:cs="宋体"/>
                <w:szCs w:val="21"/>
              </w:rPr>
            </w:pPr>
          </w:p>
        </w:tc>
      </w:tr>
      <w:tr w14:paraId="5932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45" w:type="pct"/>
            <w:vMerge w:val="restart"/>
            <w:tcBorders>
              <w:top w:val="single" w:color="auto" w:sz="4" w:space="0"/>
              <w:left w:val="single" w:color="auto" w:sz="4" w:space="0"/>
              <w:bottom w:val="single" w:color="auto" w:sz="4" w:space="0"/>
              <w:right w:val="single" w:color="auto" w:sz="4" w:space="0"/>
            </w:tcBorders>
            <w:vAlign w:val="center"/>
          </w:tcPr>
          <w:p w14:paraId="61E94662">
            <w:pPr>
              <w:spacing w:line="360" w:lineRule="exact"/>
              <w:jc w:val="center"/>
              <w:rPr>
                <w:rFonts w:ascii="宋体" w:hAnsi="宋体" w:cs="宋体"/>
                <w:szCs w:val="21"/>
              </w:rPr>
            </w:pPr>
            <w:r>
              <w:rPr>
                <w:rFonts w:hint="eastAsia" w:ascii="宋体" w:hAnsi="宋体" w:cs="宋体"/>
                <w:szCs w:val="21"/>
              </w:rPr>
              <w:t>第二</w:t>
            </w:r>
          </w:p>
          <w:p w14:paraId="3F12643F">
            <w:pPr>
              <w:spacing w:line="360" w:lineRule="exact"/>
              <w:jc w:val="center"/>
              <w:rPr>
                <w:rFonts w:ascii="宋体" w:hAnsi="宋体" w:cs="宋体"/>
                <w:szCs w:val="21"/>
              </w:rPr>
            </w:pPr>
            <w:r>
              <w:rPr>
                <w:rFonts w:hint="eastAsia" w:ascii="宋体" w:hAnsi="宋体" w:cs="宋体"/>
                <w:szCs w:val="21"/>
              </w:rPr>
              <w:t>部分</w:t>
            </w:r>
          </w:p>
          <w:p w14:paraId="175A8731">
            <w:pPr>
              <w:pStyle w:val="337"/>
              <w:spacing w:line="360" w:lineRule="exact"/>
              <w:rPr>
                <w:rFonts w:ascii="宋体" w:hAnsi="宋体" w:cs="宋体"/>
                <w:kern w:val="2"/>
                <w:sz w:val="21"/>
                <w:szCs w:val="21"/>
              </w:rPr>
            </w:pPr>
          </w:p>
          <w:p w14:paraId="0C517D81">
            <w:pPr>
              <w:spacing w:line="360" w:lineRule="exact"/>
              <w:jc w:val="center"/>
              <w:rPr>
                <w:rFonts w:ascii="宋体" w:hAnsi="宋体" w:cs="宋体"/>
                <w:szCs w:val="21"/>
              </w:rPr>
            </w:pPr>
            <w:r>
              <w:rPr>
                <w:rFonts w:hint="eastAsia" w:ascii="宋体" w:hAnsi="宋体" w:cs="宋体"/>
                <w:szCs w:val="21"/>
              </w:rPr>
              <w:t>实地</w:t>
            </w:r>
          </w:p>
          <w:p w14:paraId="4BFE0BD6">
            <w:pPr>
              <w:spacing w:line="360" w:lineRule="exact"/>
              <w:jc w:val="center"/>
              <w:rPr>
                <w:rFonts w:ascii="宋体" w:hAnsi="宋体" w:cs="宋体"/>
                <w:szCs w:val="21"/>
              </w:rPr>
            </w:pPr>
            <w:r>
              <w:rPr>
                <w:rFonts w:hint="eastAsia" w:ascii="宋体" w:hAnsi="宋体" w:cs="宋体"/>
                <w:szCs w:val="21"/>
              </w:rPr>
              <w:t>考察</w:t>
            </w:r>
          </w:p>
          <w:p w14:paraId="01812D93">
            <w:pPr>
              <w:spacing w:line="360" w:lineRule="exact"/>
              <w:jc w:val="center"/>
              <w:rPr>
                <w:rFonts w:ascii="宋体" w:hAnsi="宋体" w:cs="宋体"/>
                <w:szCs w:val="21"/>
              </w:rPr>
            </w:pPr>
            <w:r>
              <w:rPr>
                <w:rFonts w:hint="eastAsia" w:ascii="宋体" w:hAnsi="宋体" w:cs="宋体"/>
                <w:szCs w:val="21"/>
              </w:rPr>
              <w:t>（40分）</w:t>
            </w:r>
          </w:p>
        </w:tc>
        <w:tc>
          <w:tcPr>
            <w:tcW w:w="562" w:type="pct"/>
            <w:vMerge w:val="restart"/>
            <w:tcBorders>
              <w:top w:val="single" w:color="auto" w:sz="4" w:space="0"/>
              <w:left w:val="single" w:color="auto" w:sz="4" w:space="0"/>
              <w:bottom w:val="single" w:color="auto" w:sz="4" w:space="0"/>
              <w:right w:val="single" w:color="auto" w:sz="4" w:space="0"/>
            </w:tcBorders>
            <w:vAlign w:val="center"/>
          </w:tcPr>
          <w:p w14:paraId="0F35DAAF">
            <w:pPr>
              <w:spacing w:line="360" w:lineRule="exact"/>
              <w:jc w:val="center"/>
              <w:rPr>
                <w:rFonts w:ascii="宋体" w:hAnsi="宋体" w:cs="宋体"/>
                <w:szCs w:val="21"/>
              </w:rPr>
            </w:pPr>
            <w:r>
              <w:rPr>
                <w:rFonts w:hint="eastAsia" w:ascii="宋体" w:hAnsi="宋体" w:cs="宋体"/>
                <w:szCs w:val="21"/>
              </w:rPr>
              <w:t>样品管</w:t>
            </w:r>
          </w:p>
          <w:p w14:paraId="675EB39D">
            <w:pPr>
              <w:spacing w:line="360" w:lineRule="exact"/>
              <w:jc w:val="center"/>
              <w:rPr>
                <w:rFonts w:ascii="宋体" w:hAnsi="宋体" w:cs="宋体"/>
                <w:szCs w:val="21"/>
              </w:rPr>
            </w:pPr>
            <w:r>
              <w:rPr>
                <w:rFonts w:hint="eastAsia" w:ascii="宋体" w:hAnsi="宋体" w:cs="宋体"/>
                <w:szCs w:val="21"/>
              </w:rPr>
              <w:t>理制度（10分）</w:t>
            </w:r>
          </w:p>
        </w:tc>
        <w:tc>
          <w:tcPr>
            <w:tcW w:w="3189" w:type="pct"/>
            <w:tcBorders>
              <w:top w:val="single" w:color="auto" w:sz="4" w:space="0"/>
              <w:left w:val="single" w:color="auto" w:sz="4" w:space="0"/>
              <w:bottom w:val="single" w:color="auto" w:sz="4" w:space="0"/>
              <w:right w:val="single" w:color="auto" w:sz="4" w:space="0"/>
            </w:tcBorders>
            <w:vAlign w:val="center"/>
          </w:tcPr>
          <w:p w14:paraId="30CCA95F">
            <w:pPr>
              <w:spacing w:line="360" w:lineRule="exact"/>
              <w:rPr>
                <w:rFonts w:ascii="宋体" w:hAnsi="宋体" w:cs="宋体"/>
                <w:szCs w:val="21"/>
              </w:rPr>
            </w:pPr>
            <w:r>
              <w:rPr>
                <w:rFonts w:hint="eastAsia" w:ascii="宋体" w:hAnsi="宋体" w:cs="宋体"/>
                <w:szCs w:val="21"/>
              </w:rPr>
              <w:t>1.有样品的接收、储存、流转、制备、处置等工作制度。（3分，缺一项扣0.5分）</w:t>
            </w:r>
          </w:p>
        </w:tc>
        <w:tc>
          <w:tcPr>
            <w:tcW w:w="363" w:type="pct"/>
            <w:tcBorders>
              <w:top w:val="single" w:color="auto" w:sz="4" w:space="0"/>
              <w:left w:val="single" w:color="auto" w:sz="4" w:space="0"/>
              <w:bottom w:val="single" w:color="auto" w:sz="4" w:space="0"/>
              <w:right w:val="single" w:color="auto" w:sz="4" w:space="0"/>
            </w:tcBorders>
            <w:vAlign w:val="center"/>
          </w:tcPr>
          <w:p w14:paraId="232A986E">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130FC976">
            <w:pPr>
              <w:spacing w:line="360" w:lineRule="exact"/>
              <w:rPr>
                <w:rFonts w:ascii="宋体" w:hAnsi="宋体" w:cs="宋体"/>
                <w:szCs w:val="21"/>
              </w:rPr>
            </w:pPr>
          </w:p>
        </w:tc>
      </w:tr>
      <w:tr w14:paraId="19E91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12051F6">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4A5C11B">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04E79614">
            <w:pPr>
              <w:spacing w:line="360" w:lineRule="exact"/>
              <w:rPr>
                <w:rFonts w:ascii="宋体" w:hAnsi="宋体" w:cs="宋体"/>
                <w:szCs w:val="21"/>
              </w:rPr>
            </w:pPr>
            <w:r>
              <w:rPr>
                <w:rFonts w:hint="eastAsia" w:ascii="宋体" w:hAnsi="宋体" w:cs="宋体"/>
                <w:szCs w:val="21"/>
              </w:rPr>
              <w:t>2.应有样品的标识系统，存在混淆、污染、损坏、丢失、退化等影响检验工作的情况。（3分，发现一项扣1分）</w:t>
            </w:r>
          </w:p>
        </w:tc>
        <w:tc>
          <w:tcPr>
            <w:tcW w:w="363" w:type="pct"/>
            <w:tcBorders>
              <w:top w:val="single" w:color="auto" w:sz="4" w:space="0"/>
              <w:left w:val="single" w:color="auto" w:sz="4" w:space="0"/>
              <w:bottom w:val="single" w:color="auto" w:sz="4" w:space="0"/>
              <w:right w:val="single" w:color="auto" w:sz="4" w:space="0"/>
            </w:tcBorders>
            <w:vAlign w:val="center"/>
          </w:tcPr>
          <w:p w14:paraId="33ED1FB5">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13179B70">
            <w:pPr>
              <w:spacing w:line="360" w:lineRule="exact"/>
              <w:rPr>
                <w:rFonts w:ascii="宋体" w:hAnsi="宋体" w:cs="宋体"/>
                <w:szCs w:val="21"/>
              </w:rPr>
            </w:pPr>
          </w:p>
        </w:tc>
      </w:tr>
      <w:tr w14:paraId="78AC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7495F2A">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4C9E289">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697217BC">
            <w:pPr>
              <w:spacing w:line="360" w:lineRule="exact"/>
              <w:rPr>
                <w:rFonts w:ascii="宋体" w:hAnsi="宋体" w:cs="宋体"/>
                <w:szCs w:val="21"/>
              </w:rPr>
            </w:pPr>
            <w:r>
              <w:rPr>
                <w:rFonts w:hint="eastAsia" w:ascii="宋体" w:hAnsi="宋体" w:cs="宋体"/>
                <w:szCs w:val="21"/>
              </w:rPr>
              <w:t>3.应建立超过保存期限样品的无害化处置并保存相关审批、处置记录。无相关记录，扣4分。</w:t>
            </w:r>
          </w:p>
        </w:tc>
        <w:tc>
          <w:tcPr>
            <w:tcW w:w="363" w:type="pct"/>
            <w:tcBorders>
              <w:top w:val="single" w:color="auto" w:sz="4" w:space="0"/>
              <w:left w:val="single" w:color="auto" w:sz="4" w:space="0"/>
              <w:bottom w:val="single" w:color="auto" w:sz="4" w:space="0"/>
              <w:right w:val="single" w:color="auto" w:sz="4" w:space="0"/>
            </w:tcBorders>
            <w:vAlign w:val="center"/>
          </w:tcPr>
          <w:p w14:paraId="44D684A1">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6C9BB109">
            <w:pPr>
              <w:spacing w:line="360" w:lineRule="exact"/>
              <w:rPr>
                <w:rFonts w:ascii="宋体" w:hAnsi="宋体" w:cs="宋体"/>
                <w:szCs w:val="21"/>
              </w:rPr>
            </w:pPr>
          </w:p>
        </w:tc>
      </w:tr>
      <w:tr w14:paraId="12B0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A51928F">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6B4BE4FE">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07A4F4F5">
            <w:pPr>
              <w:spacing w:line="360" w:lineRule="exact"/>
              <w:rPr>
                <w:rFonts w:ascii="宋体" w:hAnsi="宋体" w:cs="宋体"/>
                <w:szCs w:val="21"/>
              </w:rPr>
            </w:pPr>
            <w:r>
              <w:rPr>
                <w:rFonts w:hint="eastAsia" w:ascii="宋体" w:hAnsi="宋体" w:cs="宋体"/>
                <w:szCs w:val="21"/>
              </w:rPr>
              <w:t>4.擅自分包、转包检验任务的，检验中非法更换样品的。扣40分。</w:t>
            </w:r>
          </w:p>
        </w:tc>
        <w:tc>
          <w:tcPr>
            <w:tcW w:w="363" w:type="pct"/>
            <w:tcBorders>
              <w:top w:val="single" w:color="auto" w:sz="4" w:space="0"/>
              <w:left w:val="single" w:color="auto" w:sz="4" w:space="0"/>
              <w:bottom w:val="single" w:color="auto" w:sz="4" w:space="0"/>
              <w:right w:val="single" w:color="auto" w:sz="4" w:space="0"/>
            </w:tcBorders>
            <w:vAlign w:val="center"/>
          </w:tcPr>
          <w:p w14:paraId="64229248">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57A39A7A">
            <w:pPr>
              <w:spacing w:line="360" w:lineRule="exact"/>
              <w:rPr>
                <w:rFonts w:ascii="宋体" w:hAnsi="宋体" w:cs="宋体"/>
                <w:szCs w:val="21"/>
              </w:rPr>
            </w:pPr>
          </w:p>
        </w:tc>
      </w:tr>
      <w:tr w14:paraId="2492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31B731A">
            <w:pPr>
              <w:widowControl/>
              <w:jc w:val="left"/>
              <w:rPr>
                <w:rFonts w:ascii="宋体" w:hAnsi="宋体" w:cs="宋体"/>
                <w:szCs w:val="21"/>
              </w:rPr>
            </w:pPr>
          </w:p>
        </w:tc>
        <w:tc>
          <w:tcPr>
            <w:tcW w:w="562" w:type="pct"/>
            <w:vMerge w:val="restart"/>
            <w:tcBorders>
              <w:top w:val="single" w:color="auto" w:sz="4" w:space="0"/>
              <w:left w:val="single" w:color="auto" w:sz="4" w:space="0"/>
              <w:bottom w:val="single" w:color="auto" w:sz="4" w:space="0"/>
              <w:right w:val="single" w:color="auto" w:sz="4" w:space="0"/>
            </w:tcBorders>
            <w:vAlign w:val="center"/>
          </w:tcPr>
          <w:p w14:paraId="02A82F28">
            <w:pPr>
              <w:spacing w:line="360" w:lineRule="exact"/>
              <w:jc w:val="center"/>
              <w:rPr>
                <w:rFonts w:ascii="宋体" w:hAnsi="宋体" w:cs="宋体"/>
                <w:szCs w:val="21"/>
              </w:rPr>
            </w:pPr>
            <w:r>
              <w:rPr>
                <w:rFonts w:hint="eastAsia" w:ascii="宋体" w:hAnsi="宋体" w:cs="宋体"/>
                <w:szCs w:val="21"/>
              </w:rPr>
              <w:t>现场</w:t>
            </w:r>
          </w:p>
          <w:p w14:paraId="7AA7AE8D">
            <w:pPr>
              <w:spacing w:line="360" w:lineRule="exact"/>
              <w:jc w:val="center"/>
              <w:rPr>
                <w:rFonts w:ascii="宋体" w:hAnsi="宋体" w:cs="宋体"/>
                <w:szCs w:val="21"/>
              </w:rPr>
            </w:pPr>
            <w:r>
              <w:rPr>
                <w:rFonts w:hint="eastAsia" w:ascii="宋体" w:hAnsi="宋体" w:cs="宋体"/>
                <w:szCs w:val="21"/>
              </w:rPr>
              <w:t>检查</w:t>
            </w:r>
          </w:p>
          <w:p w14:paraId="0C053D0E">
            <w:pPr>
              <w:spacing w:line="360" w:lineRule="exact"/>
              <w:jc w:val="center"/>
              <w:rPr>
                <w:rFonts w:ascii="宋体" w:hAnsi="宋体" w:cs="宋体"/>
                <w:szCs w:val="21"/>
              </w:rPr>
            </w:pPr>
            <w:r>
              <w:rPr>
                <w:rFonts w:hint="eastAsia" w:ascii="宋体" w:hAnsi="宋体" w:cs="宋体"/>
                <w:szCs w:val="21"/>
              </w:rPr>
              <w:t>（20分）</w:t>
            </w:r>
          </w:p>
        </w:tc>
        <w:tc>
          <w:tcPr>
            <w:tcW w:w="3189" w:type="pct"/>
            <w:tcBorders>
              <w:top w:val="single" w:color="auto" w:sz="4" w:space="0"/>
              <w:left w:val="single" w:color="auto" w:sz="4" w:space="0"/>
              <w:bottom w:val="single" w:color="auto" w:sz="4" w:space="0"/>
              <w:right w:val="single" w:color="auto" w:sz="4" w:space="0"/>
            </w:tcBorders>
            <w:vAlign w:val="center"/>
          </w:tcPr>
          <w:p w14:paraId="2ECF8887">
            <w:pPr>
              <w:spacing w:line="360" w:lineRule="exact"/>
              <w:rPr>
                <w:rFonts w:ascii="宋体" w:hAnsi="宋体" w:cs="宋体"/>
                <w:szCs w:val="21"/>
              </w:rPr>
            </w:pPr>
            <w:r>
              <w:rPr>
                <w:rFonts w:hint="eastAsia" w:ascii="宋体" w:hAnsi="宋体" w:cs="宋体"/>
                <w:szCs w:val="21"/>
              </w:rPr>
              <w:t>1.能够确保检验结果有效，或不会对检验质量产生不良影响，对相互影响的检验区域应当有效隔离，防止干扰或者交叉污染，不符合条件，不得分；微生物实验室和毒理学实验室生物安全等级管理应符合国家相关规定，不符合扣5分。</w:t>
            </w:r>
          </w:p>
        </w:tc>
        <w:tc>
          <w:tcPr>
            <w:tcW w:w="363" w:type="pct"/>
            <w:tcBorders>
              <w:top w:val="single" w:color="auto" w:sz="4" w:space="0"/>
              <w:left w:val="single" w:color="auto" w:sz="4" w:space="0"/>
              <w:bottom w:val="single" w:color="auto" w:sz="4" w:space="0"/>
              <w:right w:val="single" w:color="auto" w:sz="4" w:space="0"/>
            </w:tcBorders>
            <w:vAlign w:val="center"/>
          </w:tcPr>
          <w:p w14:paraId="0172C944">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2C3D5BC0">
            <w:pPr>
              <w:spacing w:line="360" w:lineRule="exact"/>
              <w:rPr>
                <w:rFonts w:ascii="宋体" w:hAnsi="宋体" w:cs="宋体"/>
                <w:szCs w:val="21"/>
              </w:rPr>
            </w:pPr>
          </w:p>
        </w:tc>
      </w:tr>
      <w:tr w14:paraId="210DF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4A29BF1">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35740AB">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192A343C">
            <w:pPr>
              <w:spacing w:line="360" w:lineRule="exact"/>
              <w:rPr>
                <w:rFonts w:ascii="宋体" w:hAnsi="宋体" w:cs="宋体"/>
                <w:szCs w:val="21"/>
              </w:rPr>
            </w:pPr>
            <w:r>
              <w:rPr>
                <w:rFonts w:hint="eastAsia" w:ascii="宋体" w:hAnsi="宋体" w:cs="宋体"/>
                <w:szCs w:val="21"/>
              </w:rPr>
              <w:t>2.未建立健全仪器设备管理制度的，缺一项，扣1分；未及时报告主要设备实施重大变化的，扣4分。</w:t>
            </w:r>
          </w:p>
        </w:tc>
        <w:tc>
          <w:tcPr>
            <w:tcW w:w="363" w:type="pct"/>
            <w:tcBorders>
              <w:top w:val="single" w:color="auto" w:sz="4" w:space="0"/>
              <w:left w:val="single" w:color="auto" w:sz="4" w:space="0"/>
              <w:bottom w:val="single" w:color="auto" w:sz="4" w:space="0"/>
              <w:right w:val="single" w:color="auto" w:sz="4" w:space="0"/>
            </w:tcBorders>
            <w:vAlign w:val="center"/>
          </w:tcPr>
          <w:p w14:paraId="4C3285A1">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29CB3CD2">
            <w:pPr>
              <w:spacing w:line="360" w:lineRule="exact"/>
              <w:rPr>
                <w:rFonts w:ascii="宋体" w:hAnsi="宋体" w:cs="宋体"/>
                <w:szCs w:val="21"/>
              </w:rPr>
            </w:pPr>
          </w:p>
        </w:tc>
      </w:tr>
      <w:tr w14:paraId="2B66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50B9946">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61779528">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49015ABB">
            <w:pPr>
              <w:spacing w:line="360" w:lineRule="exact"/>
              <w:rPr>
                <w:rFonts w:ascii="宋体" w:hAnsi="宋体" w:cs="宋体"/>
                <w:szCs w:val="21"/>
              </w:rPr>
            </w:pPr>
            <w:r>
              <w:rPr>
                <w:rFonts w:hint="eastAsia" w:ascii="宋体" w:hAnsi="宋体" w:cs="宋体"/>
                <w:szCs w:val="21"/>
              </w:rPr>
              <w:t>3.未严格依据标准检验方法或经确认的非标准检验方法进行检验的，扣5分。</w:t>
            </w:r>
          </w:p>
        </w:tc>
        <w:tc>
          <w:tcPr>
            <w:tcW w:w="363" w:type="pct"/>
            <w:tcBorders>
              <w:top w:val="single" w:color="auto" w:sz="4" w:space="0"/>
              <w:left w:val="single" w:color="auto" w:sz="4" w:space="0"/>
              <w:bottom w:val="single" w:color="auto" w:sz="4" w:space="0"/>
              <w:right w:val="single" w:color="auto" w:sz="4" w:space="0"/>
            </w:tcBorders>
            <w:vAlign w:val="center"/>
          </w:tcPr>
          <w:p w14:paraId="42000C82">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63DEAA1A">
            <w:pPr>
              <w:spacing w:line="360" w:lineRule="exact"/>
              <w:rPr>
                <w:rFonts w:ascii="宋体" w:hAnsi="宋体" w:cs="宋体"/>
                <w:szCs w:val="21"/>
              </w:rPr>
            </w:pPr>
          </w:p>
        </w:tc>
      </w:tr>
      <w:tr w14:paraId="64A7A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8E9CCC5">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D75889D">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28F7EF30">
            <w:pPr>
              <w:spacing w:line="360" w:lineRule="exact"/>
              <w:rPr>
                <w:rFonts w:ascii="宋体" w:hAnsi="宋体" w:cs="宋体"/>
                <w:szCs w:val="21"/>
              </w:rPr>
            </w:pPr>
            <w:r>
              <w:rPr>
                <w:rFonts w:hint="eastAsia" w:ascii="宋体" w:hAnsi="宋体" w:cs="宋体"/>
                <w:szCs w:val="21"/>
              </w:rPr>
              <w:t>4.应当对检验工作如实进行记录，原始记录应当有检验人员的签名或者等效标识，确保检验记录信息完整，可追溯、复现检验过程。（5分，缺一项扣2.5分）</w:t>
            </w:r>
          </w:p>
        </w:tc>
        <w:tc>
          <w:tcPr>
            <w:tcW w:w="363" w:type="pct"/>
            <w:tcBorders>
              <w:top w:val="single" w:color="auto" w:sz="4" w:space="0"/>
              <w:left w:val="single" w:color="auto" w:sz="4" w:space="0"/>
              <w:bottom w:val="single" w:color="auto" w:sz="4" w:space="0"/>
              <w:right w:val="single" w:color="auto" w:sz="4" w:space="0"/>
            </w:tcBorders>
            <w:vAlign w:val="center"/>
          </w:tcPr>
          <w:p w14:paraId="578F71B7">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3BC6D000">
            <w:pPr>
              <w:spacing w:line="360" w:lineRule="exact"/>
              <w:rPr>
                <w:rFonts w:ascii="宋体" w:hAnsi="宋体" w:cs="宋体"/>
                <w:szCs w:val="21"/>
              </w:rPr>
            </w:pPr>
          </w:p>
        </w:tc>
      </w:tr>
      <w:tr w14:paraId="383D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DB0379F">
            <w:pPr>
              <w:widowControl/>
              <w:jc w:val="left"/>
              <w:rPr>
                <w:rFonts w:ascii="宋体" w:hAnsi="宋体" w:cs="宋体"/>
                <w:szCs w:val="21"/>
              </w:rPr>
            </w:pPr>
          </w:p>
        </w:tc>
        <w:tc>
          <w:tcPr>
            <w:tcW w:w="562" w:type="pct"/>
            <w:vMerge w:val="restart"/>
            <w:tcBorders>
              <w:top w:val="single" w:color="auto" w:sz="4" w:space="0"/>
              <w:left w:val="single" w:color="auto" w:sz="4" w:space="0"/>
              <w:bottom w:val="single" w:color="auto" w:sz="4" w:space="0"/>
              <w:right w:val="single" w:color="auto" w:sz="4" w:space="0"/>
            </w:tcBorders>
            <w:vAlign w:val="center"/>
          </w:tcPr>
          <w:p w14:paraId="440D7A6E">
            <w:pPr>
              <w:spacing w:line="360" w:lineRule="exact"/>
              <w:jc w:val="center"/>
              <w:rPr>
                <w:rFonts w:ascii="宋体" w:hAnsi="宋体" w:cs="宋体"/>
                <w:szCs w:val="21"/>
              </w:rPr>
            </w:pPr>
            <w:r>
              <w:rPr>
                <w:rFonts w:hint="eastAsia" w:ascii="宋体" w:hAnsi="宋体" w:cs="宋体"/>
                <w:szCs w:val="21"/>
              </w:rPr>
              <w:t>质量</w:t>
            </w:r>
          </w:p>
          <w:p w14:paraId="0A8F10F4">
            <w:pPr>
              <w:spacing w:line="360" w:lineRule="exact"/>
              <w:jc w:val="center"/>
              <w:rPr>
                <w:rFonts w:ascii="宋体" w:hAnsi="宋体" w:cs="宋体"/>
                <w:szCs w:val="21"/>
              </w:rPr>
            </w:pPr>
            <w:r>
              <w:rPr>
                <w:rFonts w:hint="eastAsia" w:ascii="宋体" w:hAnsi="宋体" w:cs="宋体"/>
                <w:szCs w:val="21"/>
              </w:rPr>
              <w:t>控制</w:t>
            </w:r>
          </w:p>
          <w:p w14:paraId="07A8C9FA">
            <w:pPr>
              <w:spacing w:line="360" w:lineRule="exact"/>
              <w:jc w:val="center"/>
              <w:rPr>
                <w:rFonts w:ascii="宋体" w:hAnsi="宋体" w:cs="宋体"/>
                <w:szCs w:val="21"/>
              </w:rPr>
            </w:pPr>
            <w:r>
              <w:rPr>
                <w:rFonts w:hint="eastAsia" w:ascii="宋体" w:hAnsi="宋体" w:cs="宋体"/>
                <w:szCs w:val="21"/>
              </w:rPr>
              <w:t>（10分）</w:t>
            </w:r>
          </w:p>
        </w:tc>
        <w:tc>
          <w:tcPr>
            <w:tcW w:w="3189" w:type="pct"/>
            <w:tcBorders>
              <w:top w:val="single" w:color="auto" w:sz="4" w:space="0"/>
              <w:left w:val="single" w:color="auto" w:sz="4" w:space="0"/>
              <w:bottom w:val="single" w:color="auto" w:sz="4" w:space="0"/>
              <w:right w:val="single" w:color="auto" w:sz="4" w:space="0"/>
            </w:tcBorders>
            <w:vAlign w:val="center"/>
          </w:tcPr>
          <w:p w14:paraId="7F66FC08">
            <w:pPr>
              <w:spacing w:line="360" w:lineRule="exact"/>
              <w:rPr>
                <w:rFonts w:ascii="宋体" w:hAnsi="宋体" w:cs="宋体"/>
                <w:szCs w:val="21"/>
              </w:rPr>
            </w:pPr>
            <w:r>
              <w:rPr>
                <w:rFonts w:hint="eastAsia" w:ascii="宋体" w:hAnsi="宋体" w:cs="宋体"/>
                <w:szCs w:val="21"/>
              </w:rPr>
              <w:t>1.应当定期采取但不限于加标回收、样品复测、人员比对、仪器比对、空白试验、对照试验、使用有证标准物质或质控产品、通过质控图持续监控等方式，加强结果质量控制，确保检验结果准确可靠，未做相关工作，扣5分。</w:t>
            </w:r>
          </w:p>
        </w:tc>
        <w:tc>
          <w:tcPr>
            <w:tcW w:w="363" w:type="pct"/>
            <w:tcBorders>
              <w:top w:val="single" w:color="auto" w:sz="4" w:space="0"/>
              <w:left w:val="single" w:color="auto" w:sz="4" w:space="0"/>
              <w:bottom w:val="single" w:color="auto" w:sz="4" w:space="0"/>
              <w:right w:val="single" w:color="auto" w:sz="4" w:space="0"/>
            </w:tcBorders>
            <w:vAlign w:val="center"/>
          </w:tcPr>
          <w:p w14:paraId="68BF64C2">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22290570">
            <w:pPr>
              <w:spacing w:line="360" w:lineRule="exact"/>
              <w:rPr>
                <w:rFonts w:ascii="宋体" w:hAnsi="宋体" w:cs="宋体"/>
                <w:szCs w:val="21"/>
              </w:rPr>
            </w:pPr>
          </w:p>
        </w:tc>
      </w:tr>
      <w:tr w14:paraId="06BC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2A4B04D">
            <w:pPr>
              <w:widowControl/>
              <w:jc w:val="left"/>
              <w:rPr>
                <w:rFonts w:ascii="宋体" w:hAnsi="宋体" w:cs="宋体"/>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6A645333">
            <w:pPr>
              <w:widowControl/>
              <w:jc w:val="left"/>
              <w:rPr>
                <w:rFonts w:ascii="宋体" w:hAnsi="宋体" w:cs="宋体"/>
                <w:szCs w:val="21"/>
              </w:rPr>
            </w:pPr>
          </w:p>
        </w:tc>
        <w:tc>
          <w:tcPr>
            <w:tcW w:w="3189" w:type="pct"/>
            <w:tcBorders>
              <w:top w:val="single" w:color="auto" w:sz="4" w:space="0"/>
              <w:left w:val="single" w:color="auto" w:sz="4" w:space="0"/>
              <w:bottom w:val="single" w:color="auto" w:sz="4" w:space="0"/>
              <w:right w:val="single" w:color="auto" w:sz="4" w:space="0"/>
            </w:tcBorders>
            <w:vAlign w:val="center"/>
          </w:tcPr>
          <w:p w14:paraId="61B9562F">
            <w:pPr>
              <w:spacing w:line="360" w:lineRule="exact"/>
              <w:rPr>
                <w:rFonts w:ascii="宋体" w:hAnsi="宋体" w:cs="宋体"/>
                <w:szCs w:val="21"/>
              </w:rPr>
            </w:pPr>
            <w:r>
              <w:rPr>
                <w:rFonts w:hint="eastAsia" w:ascii="宋体" w:hAnsi="宋体" w:cs="宋体"/>
                <w:szCs w:val="21"/>
              </w:rPr>
              <w:t>2.应积极参加实验室间比对试验或能力验证，覆盖区域和参加频次应当与其检验能力情况和检验工作需求相适应，并针对可疑或不满意结果采取有效措施进行改进，未做相关工作扣5分。</w:t>
            </w:r>
          </w:p>
        </w:tc>
        <w:tc>
          <w:tcPr>
            <w:tcW w:w="363" w:type="pct"/>
            <w:tcBorders>
              <w:top w:val="single" w:color="auto" w:sz="4" w:space="0"/>
              <w:left w:val="single" w:color="auto" w:sz="4" w:space="0"/>
              <w:bottom w:val="single" w:color="auto" w:sz="4" w:space="0"/>
              <w:right w:val="single" w:color="auto" w:sz="4" w:space="0"/>
            </w:tcBorders>
            <w:vAlign w:val="center"/>
          </w:tcPr>
          <w:p w14:paraId="13771E23">
            <w:pPr>
              <w:spacing w:line="360" w:lineRule="exact"/>
              <w:rPr>
                <w:rFonts w:ascii="宋体" w:hAnsi="宋体" w:cs="宋体"/>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5E67C0E2">
            <w:pPr>
              <w:spacing w:line="360" w:lineRule="exact"/>
              <w:rPr>
                <w:rFonts w:ascii="宋体" w:hAnsi="宋体" w:cs="宋体"/>
                <w:szCs w:val="21"/>
              </w:rPr>
            </w:pPr>
          </w:p>
        </w:tc>
      </w:tr>
    </w:tbl>
    <w:p w14:paraId="2D5C9CC4">
      <w:pPr>
        <w:rPr>
          <w:rFonts w:ascii="宋体" w:hAnsi="宋体" w:cs="宋体"/>
          <w:szCs w:val="21"/>
        </w:rPr>
      </w:pPr>
    </w:p>
    <w:p w14:paraId="55AFE9D5">
      <w:pPr>
        <w:rPr>
          <w:rFonts w:ascii="宋体" w:hAnsi="宋体" w:cs="宋体"/>
          <w:szCs w:val="21"/>
        </w:rPr>
      </w:pPr>
    </w:p>
    <w:tbl>
      <w:tblPr>
        <w:tblStyle w:val="49"/>
        <w:tblW w:w="4999" w:type="pct"/>
        <w:tblInd w:w="0" w:type="dxa"/>
        <w:tblLayout w:type="autofit"/>
        <w:tblCellMar>
          <w:top w:w="0" w:type="dxa"/>
          <w:left w:w="0" w:type="dxa"/>
          <w:bottom w:w="0" w:type="dxa"/>
          <w:right w:w="0" w:type="dxa"/>
        </w:tblCellMar>
      </w:tblPr>
      <w:tblGrid>
        <w:gridCol w:w="4008"/>
        <w:gridCol w:w="1433"/>
        <w:gridCol w:w="1716"/>
        <w:gridCol w:w="1146"/>
      </w:tblGrid>
      <w:tr w14:paraId="60584AC9">
        <w:tblPrEx>
          <w:tblCellMar>
            <w:top w:w="0" w:type="dxa"/>
            <w:left w:w="0" w:type="dxa"/>
            <w:bottom w:w="0" w:type="dxa"/>
            <w:right w:w="0" w:type="dxa"/>
          </w:tblCellMar>
        </w:tblPrEx>
        <w:trPr>
          <w:trHeight w:val="283" w:hRule="atLeast"/>
        </w:trPr>
        <w:tc>
          <w:tcPr>
            <w:tcW w:w="2413" w:type="pct"/>
            <w:tcBorders>
              <w:top w:val="single" w:color="000000" w:sz="2" w:space="0"/>
              <w:left w:val="single" w:color="000000" w:sz="2" w:space="0"/>
              <w:bottom w:val="single" w:color="000000" w:sz="2" w:space="0"/>
              <w:right w:val="single" w:color="000000" w:sz="2" w:space="0"/>
            </w:tcBorders>
            <w:vAlign w:val="center"/>
          </w:tcPr>
          <w:p w14:paraId="58AA7AB3">
            <w:pPr>
              <w:spacing w:line="360" w:lineRule="exact"/>
              <w:rPr>
                <w:rFonts w:ascii="宋体" w:hAnsi="宋体" w:cs="宋体"/>
                <w:szCs w:val="21"/>
              </w:rPr>
            </w:pPr>
            <w:r>
              <w:rPr>
                <w:rFonts w:hint="eastAsia" w:ascii="宋体" w:hAnsi="宋体" w:cs="宋体"/>
                <w:szCs w:val="21"/>
              </w:rPr>
              <w:t>检验检测机构名称</w:t>
            </w:r>
          </w:p>
        </w:tc>
        <w:tc>
          <w:tcPr>
            <w:tcW w:w="2586" w:type="pct"/>
            <w:gridSpan w:val="3"/>
            <w:tcBorders>
              <w:top w:val="single" w:color="000000" w:sz="2" w:space="0"/>
              <w:left w:val="single" w:color="000000" w:sz="2" w:space="0"/>
              <w:bottom w:val="single" w:color="000000" w:sz="2" w:space="0"/>
              <w:right w:val="single" w:color="000000" w:sz="2" w:space="0"/>
            </w:tcBorders>
            <w:vAlign w:val="center"/>
          </w:tcPr>
          <w:p w14:paraId="1F321B91">
            <w:pPr>
              <w:spacing w:line="360" w:lineRule="exact"/>
              <w:rPr>
                <w:rFonts w:ascii="宋体" w:hAnsi="宋体" w:cs="宋体"/>
                <w:szCs w:val="21"/>
              </w:rPr>
            </w:pPr>
          </w:p>
        </w:tc>
      </w:tr>
      <w:tr w14:paraId="4C2AC715">
        <w:tblPrEx>
          <w:tblCellMar>
            <w:top w:w="0" w:type="dxa"/>
            <w:left w:w="0" w:type="dxa"/>
            <w:bottom w:w="0" w:type="dxa"/>
            <w:right w:w="0" w:type="dxa"/>
          </w:tblCellMar>
        </w:tblPrEx>
        <w:trPr>
          <w:trHeight w:val="283" w:hRule="atLeast"/>
        </w:trPr>
        <w:tc>
          <w:tcPr>
            <w:tcW w:w="2413" w:type="pct"/>
            <w:tcBorders>
              <w:top w:val="single" w:color="000000" w:sz="2" w:space="0"/>
              <w:left w:val="single" w:color="000000" w:sz="2" w:space="0"/>
              <w:bottom w:val="single" w:color="000000" w:sz="2" w:space="0"/>
              <w:right w:val="single" w:color="000000" w:sz="2" w:space="0"/>
            </w:tcBorders>
            <w:vAlign w:val="center"/>
          </w:tcPr>
          <w:p w14:paraId="3639FB4E">
            <w:pPr>
              <w:spacing w:line="360" w:lineRule="exact"/>
              <w:rPr>
                <w:rFonts w:ascii="宋体" w:hAnsi="宋体" w:cs="宋体"/>
                <w:szCs w:val="21"/>
              </w:rPr>
            </w:pPr>
            <w:r>
              <w:rPr>
                <w:rFonts w:hint="eastAsia" w:ascii="宋体" w:hAnsi="宋体" w:cs="宋体"/>
                <w:szCs w:val="21"/>
              </w:rPr>
              <w:t>联系人姓名、职务</w:t>
            </w:r>
          </w:p>
        </w:tc>
        <w:tc>
          <w:tcPr>
            <w:tcW w:w="863" w:type="pct"/>
            <w:tcBorders>
              <w:top w:val="single" w:color="000000" w:sz="2" w:space="0"/>
              <w:left w:val="single" w:color="000000" w:sz="2" w:space="0"/>
              <w:bottom w:val="single" w:color="000000" w:sz="2" w:space="0"/>
              <w:right w:val="single" w:color="000000" w:sz="2" w:space="0"/>
            </w:tcBorders>
            <w:vAlign w:val="center"/>
          </w:tcPr>
          <w:p w14:paraId="696AA398">
            <w:pPr>
              <w:spacing w:line="360" w:lineRule="exact"/>
              <w:rPr>
                <w:rFonts w:ascii="宋体" w:hAnsi="宋体" w:cs="宋体"/>
                <w:szCs w:val="21"/>
              </w:rPr>
            </w:pPr>
          </w:p>
        </w:tc>
        <w:tc>
          <w:tcPr>
            <w:tcW w:w="1033" w:type="pct"/>
            <w:tcBorders>
              <w:top w:val="single" w:color="000000" w:sz="2" w:space="0"/>
              <w:left w:val="single" w:color="000000" w:sz="2" w:space="0"/>
              <w:bottom w:val="single" w:color="000000" w:sz="2" w:space="0"/>
              <w:right w:val="single" w:color="000000" w:sz="2" w:space="0"/>
            </w:tcBorders>
            <w:vAlign w:val="center"/>
          </w:tcPr>
          <w:p w14:paraId="3B12EA44">
            <w:pPr>
              <w:spacing w:line="360" w:lineRule="exact"/>
              <w:rPr>
                <w:rFonts w:ascii="宋体" w:hAnsi="宋体" w:cs="宋体"/>
                <w:szCs w:val="21"/>
              </w:rPr>
            </w:pPr>
            <w:r>
              <w:rPr>
                <w:rFonts w:hint="eastAsia" w:ascii="宋体" w:hAnsi="宋体" w:cs="宋体"/>
                <w:szCs w:val="21"/>
              </w:rPr>
              <w:t>电话、手机号</w:t>
            </w:r>
          </w:p>
        </w:tc>
        <w:tc>
          <w:tcPr>
            <w:tcW w:w="689" w:type="pct"/>
            <w:tcBorders>
              <w:top w:val="single" w:color="000000" w:sz="2" w:space="0"/>
              <w:left w:val="single" w:color="000000" w:sz="2" w:space="0"/>
              <w:bottom w:val="single" w:color="000000" w:sz="2" w:space="0"/>
              <w:right w:val="single" w:color="000000" w:sz="2" w:space="0"/>
            </w:tcBorders>
            <w:vAlign w:val="center"/>
          </w:tcPr>
          <w:p w14:paraId="5FB209B1">
            <w:pPr>
              <w:spacing w:line="360" w:lineRule="exact"/>
              <w:rPr>
                <w:rFonts w:ascii="宋体" w:hAnsi="宋体" w:cs="宋体"/>
                <w:szCs w:val="21"/>
              </w:rPr>
            </w:pPr>
          </w:p>
        </w:tc>
      </w:tr>
      <w:tr w14:paraId="3189ABF4">
        <w:tblPrEx>
          <w:tblCellMar>
            <w:top w:w="0" w:type="dxa"/>
            <w:left w:w="0" w:type="dxa"/>
            <w:bottom w:w="0" w:type="dxa"/>
            <w:right w:w="0" w:type="dxa"/>
          </w:tblCellMar>
        </w:tblPrEx>
        <w:trPr>
          <w:trHeight w:val="283" w:hRule="atLeast"/>
        </w:trPr>
        <w:tc>
          <w:tcPr>
            <w:tcW w:w="2413" w:type="pct"/>
            <w:tcBorders>
              <w:top w:val="single" w:color="000000" w:sz="2" w:space="0"/>
              <w:left w:val="single" w:color="000000" w:sz="2" w:space="0"/>
              <w:bottom w:val="single" w:color="000000" w:sz="2" w:space="0"/>
              <w:right w:val="single" w:color="000000" w:sz="2" w:space="0"/>
            </w:tcBorders>
            <w:vAlign w:val="center"/>
          </w:tcPr>
          <w:p w14:paraId="20244D2B">
            <w:pPr>
              <w:spacing w:line="360" w:lineRule="exact"/>
              <w:rPr>
                <w:rFonts w:ascii="宋体" w:hAnsi="宋体" w:cs="宋体"/>
                <w:szCs w:val="21"/>
              </w:rPr>
            </w:pPr>
            <w:r>
              <w:rPr>
                <w:rFonts w:hint="eastAsia" w:ascii="宋体" w:hAnsi="宋体" w:cs="宋体"/>
                <w:szCs w:val="21"/>
              </w:rPr>
              <w:t>资质认定（计量认证）证书编号</w:t>
            </w:r>
          </w:p>
        </w:tc>
        <w:tc>
          <w:tcPr>
            <w:tcW w:w="863" w:type="pct"/>
            <w:tcBorders>
              <w:top w:val="single" w:color="000000" w:sz="2" w:space="0"/>
              <w:left w:val="single" w:color="000000" w:sz="2" w:space="0"/>
              <w:bottom w:val="single" w:color="000000" w:sz="2" w:space="0"/>
              <w:right w:val="single" w:color="000000" w:sz="2" w:space="0"/>
            </w:tcBorders>
            <w:vAlign w:val="center"/>
          </w:tcPr>
          <w:p w14:paraId="2BB12A9D">
            <w:pPr>
              <w:spacing w:line="360" w:lineRule="exact"/>
              <w:rPr>
                <w:rFonts w:ascii="宋体" w:hAnsi="宋体" w:cs="宋体"/>
                <w:szCs w:val="21"/>
              </w:rPr>
            </w:pPr>
          </w:p>
        </w:tc>
        <w:tc>
          <w:tcPr>
            <w:tcW w:w="1033" w:type="pct"/>
            <w:tcBorders>
              <w:top w:val="single" w:color="000000" w:sz="2" w:space="0"/>
              <w:left w:val="single" w:color="000000" w:sz="2" w:space="0"/>
              <w:bottom w:val="single" w:color="000000" w:sz="2" w:space="0"/>
              <w:right w:val="single" w:color="000000" w:sz="2" w:space="0"/>
            </w:tcBorders>
            <w:vAlign w:val="center"/>
          </w:tcPr>
          <w:p w14:paraId="46BC8128">
            <w:pPr>
              <w:spacing w:line="360" w:lineRule="exact"/>
              <w:rPr>
                <w:rFonts w:ascii="宋体" w:hAnsi="宋体" w:cs="宋体"/>
                <w:szCs w:val="21"/>
              </w:rPr>
            </w:pPr>
            <w:r>
              <w:rPr>
                <w:rFonts w:hint="eastAsia" w:ascii="宋体" w:hAnsi="宋体" w:cs="宋体"/>
                <w:szCs w:val="21"/>
              </w:rPr>
              <w:t>证书有效期</w:t>
            </w:r>
          </w:p>
        </w:tc>
        <w:tc>
          <w:tcPr>
            <w:tcW w:w="689" w:type="pct"/>
            <w:tcBorders>
              <w:top w:val="single" w:color="000000" w:sz="2" w:space="0"/>
              <w:left w:val="single" w:color="000000" w:sz="2" w:space="0"/>
              <w:bottom w:val="single" w:color="000000" w:sz="2" w:space="0"/>
              <w:right w:val="single" w:color="000000" w:sz="2" w:space="0"/>
            </w:tcBorders>
            <w:vAlign w:val="center"/>
          </w:tcPr>
          <w:p w14:paraId="48B3B73E">
            <w:pPr>
              <w:spacing w:line="360" w:lineRule="exact"/>
              <w:rPr>
                <w:rFonts w:ascii="宋体" w:hAnsi="宋体" w:cs="宋体"/>
                <w:szCs w:val="21"/>
              </w:rPr>
            </w:pPr>
          </w:p>
        </w:tc>
      </w:tr>
      <w:tr w14:paraId="3C1EB263">
        <w:tblPrEx>
          <w:tblCellMar>
            <w:top w:w="0" w:type="dxa"/>
            <w:left w:w="0" w:type="dxa"/>
            <w:bottom w:w="0" w:type="dxa"/>
            <w:right w:w="0" w:type="dxa"/>
          </w:tblCellMar>
        </w:tblPrEx>
        <w:trPr>
          <w:trHeight w:val="283" w:hRule="atLeast"/>
        </w:trPr>
        <w:tc>
          <w:tcPr>
            <w:tcW w:w="2413" w:type="pct"/>
            <w:tcBorders>
              <w:top w:val="single" w:color="000000" w:sz="2" w:space="0"/>
              <w:left w:val="single" w:color="000000" w:sz="2" w:space="0"/>
              <w:bottom w:val="single" w:color="000000" w:sz="2" w:space="0"/>
              <w:right w:val="single" w:color="000000" w:sz="2" w:space="0"/>
            </w:tcBorders>
            <w:vAlign w:val="center"/>
          </w:tcPr>
          <w:p w14:paraId="09966EBC">
            <w:pPr>
              <w:spacing w:line="360" w:lineRule="exact"/>
              <w:rPr>
                <w:rFonts w:ascii="宋体" w:hAnsi="宋体" w:cs="宋体"/>
                <w:szCs w:val="21"/>
              </w:rPr>
            </w:pPr>
            <w:r>
              <w:rPr>
                <w:rFonts w:hint="eastAsia" w:ascii="宋体" w:hAnsi="宋体" w:cs="宋体"/>
                <w:szCs w:val="21"/>
              </w:rPr>
              <w:t>其他资质认定证书编号（适用时）</w:t>
            </w:r>
          </w:p>
        </w:tc>
        <w:tc>
          <w:tcPr>
            <w:tcW w:w="863" w:type="pct"/>
            <w:tcBorders>
              <w:top w:val="single" w:color="000000" w:sz="2" w:space="0"/>
              <w:left w:val="single" w:color="000000" w:sz="2" w:space="0"/>
              <w:bottom w:val="single" w:color="000000" w:sz="2" w:space="0"/>
              <w:right w:val="single" w:color="000000" w:sz="2" w:space="0"/>
            </w:tcBorders>
            <w:vAlign w:val="center"/>
          </w:tcPr>
          <w:p w14:paraId="6B22D386">
            <w:pPr>
              <w:spacing w:line="360" w:lineRule="exact"/>
              <w:rPr>
                <w:rFonts w:ascii="宋体" w:hAnsi="宋体" w:cs="宋体"/>
                <w:szCs w:val="21"/>
              </w:rPr>
            </w:pPr>
          </w:p>
        </w:tc>
        <w:tc>
          <w:tcPr>
            <w:tcW w:w="1033" w:type="pct"/>
            <w:tcBorders>
              <w:top w:val="single" w:color="000000" w:sz="2" w:space="0"/>
              <w:left w:val="single" w:color="000000" w:sz="2" w:space="0"/>
              <w:bottom w:val="single" w:color="000000" w:sz="2" w:space="0"/>
              <w:right w:val="single" w:color="000000" w:sz="2" w:space="0"/>
            </w:tcBorders>
            <w:vAlign w:val="center"/>
          </w:tcPr>
          <w:p w14:paraId="3219A27C">
            <w:pPr>
              <w:spacing w:line="360" w:lineRule="exact"/>
              <w:rPr>
                <w:rFonts w:ascii="宋体" w:hAnsi="宋体" w:cs="宋体"/>
                <w:szCs w:val="21"/>
              </w:rPr>
            </w:pPr>
            <w:r>
              <w:rPr>
                <w:rFonts w:hint="eastAsia" w:ascii="宋体" w:hAnsi="宋体" w:cs="宋体"/>
                <w:szCs w:val="21"/>
              </w:rPr>
              <w:t>证书有效期</w:t>
            </w:r>
          </w:p>
        </w:tc>
        <w:tc>
          <w:tcPr>
            <w:tcW w:w="689" w:type="pct"/>
            <w:tcBorders>
              <w:top w:val="single" w:color="000000" w:sz="2" w:space="0"/>
              <w:left w:val="single" w:color="000000" w:sz="2" w:space="0"/>
              <w:bottom w:val="single" w:color="000000" w:sz="2" w:space="0"/>
              <w:right w:val="single" w:color="000000" w:sz="2" w:space="0"/>
            </w:tcBorders>
            <w:vAlign w:val="center"/>
          </w:tcPr>
          <w:p w14:paraId="1C7B2A9E">
            <w:pPr>
              <w:spacing w:line="360" w:lineRule="exact"/>
              <w:rPr>
                <w:rFonts w:ascii="宋体" w:hAnsi="宋体" w:cs="宋体"/>
                <w:szCs w:val="21"/>
              </w:rPr>
            </w:pPr>
          </w:p>
        </w:tc>
      </w:tr>
      <w:tr w14:paraId="25FD243A">
        <w:tblPrEx>
          <w:tblCellMar>
            <w:top w:w="0" w:type="dxa"/>
            <w:left w:w="0" w:type="dxa"/>
            <w:bottom w:w="0" w:type="dxa"/>
            <w:right w:w="0" w:type="dxa"/>
          </w:tblCellMar>
        </w:tblPrEx>
        <w:trPr>
          <w:trHeight w:val="283" w:hRule="atLeast"/>
        </w:trPr>
        <w:tc>
          <w:tcPr>
            <w:tcW w:w="2413" w:type="pct"/>
            <w:tcBorders>
              <w:top w:val="single" w:color="000000" w:sz="2" w:space="0"/>
              <w:left w:val="single" w:color="000000" w:sz="2" w:space="0"/>
              <w:bottom w:val="single" w:color="000000" w:sz="2" w:space="0"/>
              <w:right w:val="single" w:color="000000" w:sz="2" w:space="0"/>
            </w:tcBorders>
            <w:vAlign w:val="center"/>
          </w:tcPr>
          <w:p w14:paraId="00AE4248">
            <w:pPr>
              <w:spacing w:line="360" w:lineRule="exact"/>
              <w:rPr>
                <w:rFonts w:ascii="宋体" w:hAnsi="宋体" w:cs="宋体"/>
                <w:szCs w:val="21"/>
              </w:rPr>
            </w:pPr>
            <w:r>
              <w:rPr>
                <w:rFonts w:hint="eastAsia" w:ascii="宋体" w:hAnsi="宋体" w:cs="宋体"/>
                <w:szCs w:val="21"/>
              </w:rPr>
              <w:t>实验室认可证书编号（适用时）</w:t>
            </w:r>
          </w:p>
        </w:tc>
        <w:tc>
          <w:tcPr>
            <w:tcW w:w="863" w:type="pct"/>
            <w:tcBorders>
              <w:top w:val="single" w:color="000000" w:sz="2" w:space="0"/>
              <w:left w:val="single" w:color="000000" w:sz="2" w:space="0"/>
              <w:bottom w:val="single" w:color="000000" w:sz="2" w:space="0"/>
              <w:right w:val="single" w:color="000000" w:sz="2" w:space="0"/>
            </w:tcBorders>
            <w:vAlign w:val="center"/>
          </w:tcPr>
          <w:p w14:paraId="38316E1E">
            <w:pPr>
              <w:spacing w:line="360" w:lineRule="exact"/>
              <w:rPr>
                <w:rFonts w:ascii="宋体" w:hAnsi="宋体" w:cs="宋体"/>
                <w:szCs w:val="21"/>
              </w:rPr>
            </w:pPr>
          </w:p>
        </w:tc>
        <w:tc>
          <w:tcPr>
            <w:tcW w:w="1033" w:type="pct"/>
            <w:tcBorders>
              <w:top w:val="single" w:color="000000" w:sz="2" w:space="0"/>
              <w:left w:val="single" w:color="000000" w:sz="2" w:space="0"/>
              <w:bottom w:val="single" w:color="000000" w:sz="2" w:space="0"/>
              <w:right w:val="single" w:color="000000" w:sz="2" w:space="0"/>
            </w:tcBorders>
            <w:vAlign w:val="center"/>
          </w:tcPr>
          <w:p w14:paraId="5B5A43F3">
            <w:pPr>
              <w:spacing w:line="360" w:lineRule="exact"/>
              <w:rPr>
                <w:rFonts w:ascii="宋体" w:hAnsi="宋体" w:cs="宋体"/>
                <w:szCs w:val="21"/>
              </w:rPr>
            </w:pPr>
            <w:r>
              <w:rPr>
                <w:rFonts w:hint="eastAsia" w:ascii="宋体" w:hAnsi="宋体" w:cs="宋体"/>
                <w:szCs w:val="21"/>
              </w:rPr>
              <w:t>证书有效期</w:t>
            </w:r>
          </w:p>
        </w:tc>
        <w:tc>
          <w:tcPr>
            <w:tcW w:w="689" w:type="pct"/>
            <w:tcBorders>
              <w:top w:val="single" w:color="000000" w:sz="2" w:space="0"/>
              <w:left w:val="single" w:color="000000" w:sz="2" w:space="0"/>
              <w:bottom w:val="single" w:color="000000" w:sz="2" w:space="0"/>
              <w:right w:val="single" w:color="000000" w:sz="2" w:space="0"/>
            </w:tcBorders>
            <w:vAlign w:val="center"/>
          </w:tcPr>
          <w:p w14:paraId="30ED986C">
            <w:pPr>
              <w:spacing w:line="360" w:lineRule="exact"/>
              <w:rPr>
                <w:rFonts w:ascii="宋体" w:hAnsi="宋体" w:cs="宋体"/>
                <w:szCs w:val="21"/>
              </w:rPr>
            </w:pPr>
          </w:p>
        </w:tc>
      </w:tr>
      <w:tr w14:paraId="30BA88C4">
        <w:tblPrEx>
          <w:tblCellMar>
            <w:top w:w="0" w:type="dxa"/>
            <w:left w:w="0" w:type="dxa"/>
            <w:bottom w:w="0" w:type="dxa"/>
            <w:right w:w="0" w:type="dxa"/>
          </w:tblCellMar>
        </w:tblPrEx>
        <w:trPr>
          <w:trHeight w:val="283" w:hRule="atLeast"/>
        </w:trPr>
        <w:tc>
          <w:tcPr>
            <w:tcW w:w="2413" w:type="pct"/>
            <w:tcBorders>
              <w:top w:val="single" w:color="000000" w:sz="2" w:space="0"/>
              <w:left w:val="single" w:color="000000" w:sz="2" w:space="0"/>
              <w:bottom w:val="single" w:color="000000" w:sz="2" w:space="0"/>
              <w:right w:val="single" w:color="000000" w:sz="2" w:space="0"/>
            </w:tcBorders>
            <w:vAlign w:val="center"/>
          </w:tcPr>
          <w:p w14:paraId="7B63995D">
            <w:pPr>
              <w:spacing w:line="360" w:lineRule="exact"/>
              <w:rPr>
                <w:rFonts w:ascii="宋体" w:hAnsi="宋体" w:cs="宋体"/>
                <w:szCs w:val="21"/>
              </w:rPr>
            </w:pPr>
            <w:r>
              <w:rPr>
                <w:rFonts w:hint="eastAsia" w:ascii="宋体" w:hAnsi="宋体" w:cs="宋体"/>
                <w:szCs w:val="21"/>
              </w:rPr>
              <w:t>检查人员签名</w:t>
            </w:r>
          </w:p>
        </w:tc>
        <w:tc>
          <w:tcPr>
            <w:tcW w:w="863" w:type="pct"/>
            <w:tcBorders>
              <w:top w:val="single" w:color="000000" w:sz="2" w:space="0"/>
              <w:left w:val="single" w:color="000000" w:sz="2" w:space="0"/>
              <w:bottom w:val="single" w:color="000000" w:sz="2" w:space="0"/>
              <w:right w:val="single" w:color="000000" w:sz="2" w:space="0"/>
            </w:tcBorders>
            <w:vAlign w:val="center"/>
          </w:tcPr>
          <w:p w14:paraId="36FF6BE3">
            <w:pPr>
              <w:spacing w:line="360" w:lineRule="exact"/>
              <w:rPr>
                <w:rFonts w:ascii="宋体" w:hAnsi="宋体" w:cs="宋体"/>
                <w:szCs w:val="21"/>
              </w:rPr>
            </w:pPr>
          </w:p>
        </w:tc>
        <w:tc>
          <w:tcPr>
            <w:tcW w:w="1033" w:type="pct"/>
            <w:tcBorders>
              <w:top w:val="single" w:color="000000" w:sz="2" w:space="0"/>
              <w:left w:val="single" w:color="000000" w:sz="2" w:space="0"/>
              <w:bottom w:val="single" w:color="000000" w:sz="2" w:space="0"/>
              <w:right w:val="single" w:color="000000" w:sz="2" w:space="0"/>
            </w:tcBorders>
            <w:vAlign w:val="center"/>
          </w:tcPr>
          <w:p w14:paraId="7FDABAE7">
            <w:pPr>
              <w:spacing w:line="360" w:lineRule="exact"/>
              <w:rPr>
                <w:rFonts w:ascii="宋体" w:hAnsi="宋体" w:cs="宋体"/>
                <w:szCs w:val="21"/>
              </w:rPr>
            </w:pPr>
            <w:r>
              <w:rPr>
                <w:rFonts w:hint="eastAsia" w:ascii="宋体" w:hAnsi="宋体" w:cs="宋体"/>
                <w:szCs w:val="21"/>
              </w:rPr>
              <w:t>检查时间</w:t>
            </w:r>
          </w:p>
        </w:tc>
        <w:tc>
          <w:tcPr>
            <w:tcW w:w="689" w:type="pct"/>
            <w:tcBorders>
              <w:top w:val="single" w:color="000000" w:sz="2" w:space="0"/>
              <w:left w:val="single" w:color="000000" w:sz="2" w:space="0"/>
              <w:bottom w:val="single" w:color="000000" w:sz="2" w:space="0"/>
              <w:right w:val="single" w:color="000000" w:sz="2" w:space="0"/>
            </w:tcBorders>
            <w:vAlign w:val="center"/>
          </w:tcPr>
          <w:p w14:paraId="05412F26">
            <w:pPr>
              <w:spacing w:line="360" w:lineRule="exact"/>
              <w:rPr>
                <w:rFonts w:ascii="宋体" w:hAnsi="宋体" w:cs="宋体"/>
                <w:szCs w:val="21"/>
              </w:rPr>
            </w:pPr>
          </w:p>
        </w:tc>
      </w:tr>
    </w:tbl>
    <w:p w14:paraId="552FC34C">
      <w:pPr>
        <w:pStyle w:val="5"/>
      </w:pPr>
    </w:p>
    <w:p w14:paraId="1D951355">
      <w:pPr>
        <w:rPr>
          <w:rFonts w:ascii="宋体" w:hAnsi="宋体"/>
          <w:b/>
          <w:sz w:val="36"/>
          <w:szCs w:val="36"/>
        </w:rPr>
      </w:pPr>
      <w:r>
        <w:rPr>
          <w:rFonts w:ascii="宋体" w:hAnsi="宋体"/>
          <w:b/>
          <w:sz w:val="36"/>
          <w:szCs w:val="36"/>
        </w:rPr>
        <w:br w:type="page"/>
      </w:r>
    </w:p>
    <w:p w14:paraId="5F1E7DD5">
      <w:pPr>
        <w:spacing w:line="360" w:lineRule="auto"/>
        <w:jc w:val="center"/>
        <w:outlineLvl w:val="0"/>
        <w:rPr>
          <w:rFonts w:ascii="宋体" w:hAnsi="宋体"/>
          <w:b/>
          <w:sz w:val="30"/>
          <w:szCs w:val="30"/>
        </w:rPr>
      </w:pPr>
      <w:r>
        <w:rPr>
          <w:rFonts w:ascii="宋体" w:hAnsi="宋体"/>
          <w:b/>
          <w:sz w:val="36"/>
          <w:szCs w:val="36"/>
        </w:rPr>
        <w:t xml:space="preserve">第七章   </w:t>
      </w:r>
      <w:r>
        <w:rPr>
          <w:rFonts w:hint="eastAsia" w:ascii="宋体" w:hAnsi="宋体"/>
          <w:b/>
          <w:sz w:val="36"/>
          <w:szCs w:val="36"/>
        </w:rPr>
        <w:t>响应文件的组成及提交须知</w:t>
      </w:r>
      <w:bookmarkEnd w:id="456"/>
    </w:p>
    <w:tbl>
      <w:tblPr>
        <w:tblStyle w:val="49"/>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6FCE9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noWrap w:val="0"/>
            <w:vAlign w:val="center"/>
          </w:tcPr>
          <w:p w14:paraId="49BB3173">
            <w:pPr>
              <w:jc w:val="center"/>
              <w:rPr>
                <w:rFonts w:ascii="宋体" w:hAnsi="宋体" w:cs="宋体"/>
                <w:b/>
                <w:szCs w:val="21"/>
              </w:rPr>
            </w:pPr>
            <w:bookmarkStart w:id="457" w:name="_Toc86202633"/>
            <w:r>
              <w:rPr>
                <w:rFonts w:hint="eastAsia" w:ascii="宋体" w:hAnsi="宋体" w:cs="宋体"/>
                <w:b/>
                <w:szCs w:val="21"/>
              </w:rPr>
              <w:t>名称</w:t>
            </w:r>
            <w:bookmarkEnd w:id="457"/>
          </w:p>
        </w:tc>
        <w:tc>
          <w:tcPr>
            <w:tcW w:w="2502" w:type="dxa"/>
            <w:noWrap w:val="0"/>
            <w:vAlign w:val="center"/>
          </w:tcPr>
          <w:p w14:paraId="0F71DABD">
            <w:pPr>
              <w:jc w:val="center"/>
              <w:rPr>
                <w:rFonts w:ascii="宋体" w:hAnsi="宋体" w:cs="宋体"/>
                <w:b/>
                <w:szCs w:val="21"/>
              </w:rPr>
            </w:pPr>
            <w:r>
              <w:rPr>
                <w:rFonts w:hint="eastAsia" w:ascii="宋体" w:hAnsi="宋体" w:cs="宋体"/>
                <w:b/>
                <w:szCs w:val="21"/>
              </w:rPr>
              <w:t>类别</w:t>
            </w:r>
          </w:p>
        </w:tc>
        <w:tc>
          <w:tcPr>
            <w:tcW w:w="6043" w:type="dxa"/>
            <w:noWrap w:val="0"/>
            <w:vAlign w:val="center"/>
          </w:tcPr>
          <w:p w14:paraId="3F8AA52D">
            <w:pPr>
              <w:jc w:val="center"/>
              <w:rPr>
                <w:rFonts w:ascii="宋体" w:hAnsi="宋体" w:cs="宋体"/>
                <w:b/>
                <w:szCs w:val="21"/>
              </w:rPr>
            </w:pPr>
            <w:r>
              <w:rPr>
                <w:rFonts w:hint="eastAsia" w:ascii="宋体" w:hAnsi="宋体" w:cs="宋体"/>
                <w:b/>
                <w:szCs w:val="21"/>
              </w:rPr>
              <w:t>相应内容</w:t>
            </w:r>
          </w:p>
        </w:tc>
      </w:tr>
      <w:tr w14:paraId="1FD3A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1150" w:type="dxa"/>
            <w:vMerge w:val="restart"/>
            <w:noWrap w:val="0"/>
            <w:vAlign w:val="center"/>
          </w:tcPr>
          <w:p w14:paraId="0805DA8A">
            <w:pPr>
              <w:ind w:left="211" w:hanging="211"/>
              <w:rPr>
                <w:rFonts w:ascii="宋体" w:hAnsi="宋体" w:cs="宋体"/>
                <w:szCs w:val="21"/>
              </w:rPr>
            </w:pPr>
            <w:r>
              <w:rPr>
                <w:rFonts w:hint="eastAsia" w:ascii="宋体" w:hAnsi="宋体" w:cs="宋体"/>
                <w:b/>
                <w:szCs w:val="21"/>
              </w:rPr>
              <w:t>响应文件组 成</w:t>
            </w:r>
          </w:p>
        </w:tc>
        <w:tc>
          <w:tcPr>
            <w:tcW w:w="2502" w:type="dxa"/>
            <w:vMerge w:val="restart"/>
            <w:noWrap w:val="0"/>
            <w:vAlign w:val="center"/>
          </w:tcPr>
          <w:p w14:paraId="5AE81905">
            <w:pPr>
              <w:jc w:val="center"/>
              <w:rPr>
                <w:rFonts w:ascii="宋体" w:hAnsi="宋体" w:cs="宋体"/>
                <w:b/>
                <w:bCs/>
                <w:szCs w:val="21"/>
              </w:rPr>
            </w:pPr>
            <w:r>
              <w:rPr>
                <w:rFonts w:hint="eastAsia" w:ascii="宋体" w:hAnsi="宋体" w:cs="宋体"/>
                <w:b/>
                <w:bCs/>
                <w:szCs w:val="21"/>
              </w:rPr>
              <w:t>基本目录</w:t>
            </w:r>
          </w:p>
        </w:tc>
        <w:tc>
          <w:tcPr>
            <w:tcW w:w="6043" w:type="dxa"/>
            <w:noWrap w:val="0"/>
            <w:vAlign w:val="center"/>
          </w:tcPr>
          <w:p w14:paraId="048FE809">
            <w:pPr>
              <w:rPr>
                <w:rFonts w:ascii="宋体" w:hAnsi="宋体" w:cs="宋体"/>
                <w:szCs w:val="21"/>
              </w:rPr>
            </w:pPr>
            <w:r>
              <w:rPr>
                <w:rFonts w:hint="eastAsia" w:ascii="宋体" w:hAnsi="宋体" w:cs="宋体"/>
                <w:szCs w:val="21"/>
              </w:rPr>
              <w:t>响应文件封面</w:t>
            </w:r>
          </w:p>
        </w:tc>
      </w:tr>
      <w:tr w14:paraId="5D4EC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1150" w:type="dxa"/>
            <w:vMerge w:val="continue"/>
            <w:noWrap w:val="0"/>
            <w:vAlign w:val="center"/>
          </w:tcPr>
          <w:p w14:paraId="348FB673">
            <w:pPr>
              <w:rPr>
                <w:rFonts w:ascii="宋体" w:hAnsi="宋体" w:cs="宋体"/>
                <w:szCs w:val="21"/>
              </w:rPr>
            </w:pPr>
          </w:p>
        </w:tc>
        <w:tc>
          <w:tcPr>
            <w:tcW w:w="2502" w:type="dxa"/>
            <w:vMerge w:val="continue"/>
            <w:noWrap w:val="0"/>
            <w:vAlign w:val="top"/>
          </w:tcPr>
          <w:p w14:paraId="05AC1392">
            <w:pPr>
              <w:rPr>
                <w:rFonts w:ascii="宋体" w:hAnsi="宋体" w:cs="宋体"/>
                <w:b/>
                <w:bCs/>
                <w:szCs w:val="21"/>
              </w:rPr>
            </w:pPr>
          </w:p>
        </w:tc>
        <w:tc>
          <w:tcPr>
            <w:tcW w:w="6043" w:type="dxa"/>
            <w:noWrap w:val="0"/>
            <w:vAlign w:val="center"/>
          </w:tcPr>
          <w:p w14:paraId="1FD930A4">
            <w:pPr>
              <w:rPr>
                <w:rFonts w:ascii="宋体" w:hAnsi="宋体" w:cs="宋体"/>
                <w:szCs w:val="21"/>
              </w:rPr>
            </w:pPr>
            <w:r>
              <w:rPr>
                <w:rFonts w:hint="eastAsia" w:ascii="宋体" w:hAnsi="宋体" w:cs="宋体"/>
                <w:szCs w:val="21"/>
              </w:rPr>
              <w:t>*报价一览表</w:t>
            </w:r>
          </w:p>
        </w:tc>
      </w:tr>
      <w:tr w14:paraId="36467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2BAB04F8">
            <w:pPr>
              <w:rPr>
                <w:rFonts w:ascii="宋体" w:hAnsi="宋体" w:cs="宋体"/>
                <w:szCs w:val="21"/>
              </w:rPr>
            </w:pPr>
          </w:p>
        </w:tc>
        <w:tc>
          <w:tcPr>
            <w:tcW w:w="2502" w:type="dxa"/>
            <w:vMerge w:val="continue"/>
            <w:noWrap w:val="0"/>
            <w:vAlign w:val="top"/>
          </w:tcPr>
          <w:p w14:paraId="10313198">
            <w:pPr>
              <w:rPr>
                <w:rFonts w:ascii="宋体" w:hAnsi="宋体" w:cs="宋体"/>
                <w:b/>
                <w:bCs/>
                <w:szCs w:val="21"/>
              </w:rPr>
            </w:pPr>
          </w:p>
        </w:tc>
        <w:tc>
          <w:tcPr>
            <w:tcW w:w="6043" w:type="dxa"/>
            <w:noWrap w:val="0"/>
            <w:vAlign w:val="center"/>
          </w:tcPr>
          <w:p w14:paraId="10F51376">
            <w:pPr>
              <w:rPr>
                <w:rFonts w:ascii="宋体" w:hAnsi="宋体" w:cs="宋体"/>
                <w:szCs w:val="21"/>
              </w:rPr>
            </w:pPr>
            <w:r>
              <w:rPr>
                <w:rFonts w:hint="eastAsia" w:ascii="宋体" w:hAnsi="宋体" w:cs="宋体"/>
                <w:szCs w:val="21"/>
              </w:rPr>
              <w:t>项目实施方案</w:t>
            </w:r>
          </w:p>
        </w:tc>
      </w:tr>
      <w:tr w14:paraId="64718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5DD5F46E">
            <w:pPr>
              <w:rPr>
                <w:rFonts w:ascii="宋体" w:hAnsi="宋体" w:cs="宋体"/>
                <w:szCs w:val="21"/>
              </w:rPr>
            </w:pPr>
          </w:p>
        </w:tc>
        <w:tc>
          <w:tcPr>
            <w:tcW w:w="2502" w:type="dxa"/>
            <w:vMerge w:val="continue"/>
            <w:noWrap w:val="0"/>
            <w:vAlign w:val="top"/>
          </w:tcPr>
          <w:p w14:paraId="17F71295">
            <w:pPr>
              <w:rPr>
                <w:rFonts w:ascii="宋体" w:hAnsi="宋体" w:cs="宋体"/>
                <w:b/>
                <w:bCs/>
                <w:szCs w:val="21"/>
              </w:rPr>
            </w:pPr>
          </w:p>
        </w:tc>
        <w:tc>
          <w:tcPr>
            <w:tcW w:w="6043" w:type="dxa"/>
            <w:noWrap w:val="0"/>
            <w:vAlign w:val="center"/>
          </w:tcPr>
          <w:p w14:paraId="581FF541">
            <w:pPr>
              <w:rPr>
                <w:rFonts w:ascii="宋体" w:hAnsi="宋体" w:cs="宋体"/>
                <w:szCs w:val="21"/>
              </w:rPr>
            </w:pPr>
            <w:r>
              <w:rPr>
                <w:rFonts w:hint="eastAsia" w:ascii="宋体" w:hAnsi="宋体" w:cs="宋体"/>
                <w:szCs w:val="21"/>
              </w:rPr>
              <w:t>基本服务承诺书</w:t>
            </w:r>
          </w:p>
        </w:tc>
      </w:tr>
      <w:tr w14:paraId="22C47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76E73073">
            <w:pPr>
              <w:rPr>
                <w:rFonts w:ascii="宋体" w:hAnsi="宋体" w:cs="宋体"/>
                <w:szCs w:val="21"/>
              </w:rPr>
            </w:pPr>
          </w:p>
        </w:tc>
        <w:tc>
          <w:tcPr>
            <w:tcW w:w="2502" w:type="dxa"/>
            <w:vMerge w:val="continue"/>
            <w:noWrap w:val="0"/>
            <w:vAlign w:val="top"/>
          </w:tcPr>
          <w:p w14:paraId="37766CD7">
            <w:pPr>
              <w:rPr>
                <w:rFonts w:ascii="宋体" w:hAnsi="宋体" w:cs="宋体"/>
                <w:b/>
                <w:bCs/>
                <w:szCs w:val="21"/>
              </w:rPr>
            </w:pPr>
          </w:p>
        </w:tc>
        <w:tc>
          <w:tcPr>
            <w:tcW w:w="6043" w:type="dxa"/>
            <w:noWrap w:val="0"/>
            <w:vAlign w:val="center"/>
          </w:tcPr>
          <w:p w14:paraId="20FEFC58">
            <w:pPr>
              <w:rPr>
                <w:rFonts w:ascii="宋体" w:hAnsi="宋体" w:cs="宋体"/>
                <w:szCs w:val="21"/>
              </w:rPr>
            </w:pPr>
            <w:r>
              <w:rPr>
                <w:rFonts w:hint="eastAsia" w:ascii="宋体" w:hAnsi="宋体" w:cs="宋体"/>
                <w:szCs w:val="21"/>
              </w:rPr>
              <w:t>认为需要提供的其他证明材料</w:t>
            </w:r>
          </w:p>
        </w:tc>
      </w:tr>
      <w:tr w14:paraId="09B6F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564C100E">
            <w:pPr>
              <w:rPr>
                <w:rFonts w:ascii="宋体" w:hAnsi="宋体" w:cs="宋体"/>
                <w:szCs w:val="21"/>
              </w:rPr>
            </w:pPr>
          </w:p>
        </w:tc>
        <w:tc>
          <w:tcPr>
            <w:tcW w:w="2502" w:type="dxa"/>
            <w:vMerge w:val="restart"/>
            <w:noWrap w:val="0"/>
            <w:vAlign w:val="center"/>
          </w:tcPr>
          <w:p w14:paraId="276D99FF">
            <w:pPr>
              <w:ind w:firstLine="843"/>
              <w:rPr>
                <w:rFonts w:ascii="宋体" w:hAnsi="宋体" w:cs="宋体"/>
                <w:b/>
                <w:bCs/>
                <w:szCs w:val="21"/>
              </w:rPr>
            </w:pPr>
            <w:r>
              <w:rPr>
                <w:rFonts w:hint="eastAsia" w:ascii="宋体" w:hAnsi="宋体" w:cs="宋体"/>
                <w:b/>
                <w:bCs/>
                <w:szCs w:val="21"/>
              </w:rPr>
              <w:t>资格条件</w:t>
            </w:r>
          </w:p>
        </w:tc>
        <w:tc>
          <w:tcPr>
            <w:tcW w:w="6043" w:type="dxa"/>
            <w:noWrap w:val="0"/>
            <w:vAlign w:val="center"/>
          </w:tcPr>
          <w:p w14:paraId="1947FFDB">
            <w:pPr>
              <w:rPr>
                <w:rFonts w:ascii="宋体" w:hAnsi="宋体" w:cs="宋体"/>
                <w:szCs w:val="21"/>
              </w:rPr>
            </w:pPr>
            <w:r>
              <w:rPr>
                <w:rFonts w:hint="eastAsia" w:ascii="宋体" w:hAnsi="宋体" w:cs="宋体"/>
                <w:szCs w:val="21"/>
              </w:rPr>
              <w:t>△营业执照或事业单位法人证书</w:t>
            </w:r>
          </w:p>
        </w:tc>
      </w:tr>
      <w:tr w14:paraId="5D6A3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30B56AD4">
            <w:pPr>
              <w:rPr>
                <w:rFonts w:ascii="宋体" w:hAnsi="宋体" w:cs="宋体"/>
                <w:szCs w:val="21"/>
              </w:rPr>
            </w:pPr>
          </w:p>
        </w:tc>
        <w:tc>
          <w:tcPr>
            <w:tcW w:w="2502" w:type="dxa"/>
            <w:vMerge w:val="continue"/>
            <w:noWrap w:val="0"/>
            <w:vAlign w:val="top"/>
          </w:tcPr>
          <w:p w14:paraId="502FD279">
            <w:pPr>
              <w:jc w:val="center"/>
              <w:rPr>
                <w:rFonts w:ascii="宋体" w:hAnsi="宋体" w:cs="宋体"/>
                <w:b/>
                <w:bCs/>
                <w:szCs w:val="21"/>
              </w:rPr>
            </w:pPr>
          </w:p>
        </w:tc>
        <w:tc>
          <w:tcPr>
            <w:tcW w:w="6043" w:type="dxa"/>
            <w:noWrap w:val="0"/>
            <w:vAlign w:val="center"/>
          </w:tcPr>
          <w:p w14:paraId="0DEC6C42">
            <w:pPr>
              <w:rPr>
                <w:rFonts w:ascii="宋体" w:hAnsi="宋体" w:cs="宋体"/>
                <w:b/>
                <w:bCs/>
                <w:szCs w:val="21"/>
              </w:rPr>
            </w:pPr>
            <w:r>
              <w:rPr>
                <w:rFonts w:hint="eastAsia" w:ascii="宋体" w:hAnsi="宋体" w:cs="宋体"/>
                <w:szCs w:val="21"/>
              </w:rPr>
              <w:t>△法人授权书</w:t>
            </w:r>
          </w:p>
        </w:tc>
      </w:tr>
      <w:tr w14:paraId="1BA52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12E2120F">
            <w:pPr>
              <w:rPr>
                <w:rFonts w:ascii="宋体" w:hAnsi="宋体" w:cs="宋体"/>
                <w:szCs w:val="21"/>
              </w:rPr>
            </w:pPr>
          </w:p>
        </w:tc>
        <w:tc>
          <w:tcPr>
            <w:tcW w:w="2502" w:type="dxa"/>
            <w:vMerge w:val="continue"/>
            <w:noWrap w:val="0"/>
            <w:vAlign w:val="top"/>
          </w:tcPr>
          <w:p w14:paraId="2038C4F7">
            <w:pPr>
              <w:jc w:val="center"/>
              <w:rPr>
                <w:rFonts w:ascii="宋体" w:hAnsi="宋体" w:cs="宋体"/>
                <w:b/>
                <w:bCs/>
                <w:szCs w:val="21"/>
              </w:rPr>
            </w:pPr>
          </w:p>
        </w:tc>
        <w:tc>
          <w:tcPr>
            <w:tcW w:w="6043" w:type="dxa"/>
            <w:noWrap w:val="0"/>
            <w:vAlign w:val="center"/>
          </w:tcPr>
          <w:p w14:paraId="23BE1E34">
            <w:pPr>
              <w:rPr>
                <w:rFonts w:ascii="宋体" w:hAnsi="宋体" w:cs="宋体"/>
                <w:szCs w:val="21"/>
              </w:rPr>
            </w:pPr>
            <w:r>
              <w:rPr>
                <w:rFonts w:hint="eastAsia" w:ascii="宋体" w:hAnsi="宋体" w:cs="宋体"/>
                <w:szCs w:val="21"/>
              </w:rPr>
              <w:t>经“信用中国”网站查询未被列入信用记录失信被执行人、重大税收违法案件当事人名单、政府采购严重违法失信行为记录名单</w:t>
            </w:r>
          </w:p>
        </w:tc>
      </w:tr>
      <w:tr w14:paraId="08CCB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1150" w:type="dxa"/>
            <w:vMerge w:val="continue"/>
            <w:noWrap w:val="0"/>
            <w:vAlign w:val="center"/>
          </w:tcPr>
          <w:p w14:paraId="1099247D">
            <w:pPr>
              <w:rPr>
                <w:rFonts w:ascii="宋体" w:hAnsi="宋体" w:cs="宋体"/>
                <w:szCs w:val="21"/>
              </w:rPr>
            </w:pPr>
          </w:p>
        </w:tc>
        <w:tc>
          <w:tcPr>
            <w:tcW w:w="2502" w:type="dxa"/>
            <w:vMerge w:val="continue"/>
            <w:noWrap w:val="0"/>
            <w:vAlign w:val="top"/>
          </w:tcPr>
          <w:p w14:paraId="631B58ED">
            <w:pPr>
              <w:rPr>
                <w:rFonts w:ascii="宋体" w:hAnsi="宋体" w:cs="宋体"/>
                <w:b/>
                <w:bCs/>
                <w:szCs w:val="21"/>
              </w:rPr>
            </w:pPr>
          </w:p>
        </w:tc>
        <w:tc>
          <w:tcPr>
            <w:tcW w:w="6043" w:type="dxa"/>
            <w:noWrap w:val="0"/>
            <w:vAlign w:val="center"/>
          </w:tcPr>
          <w:p w14:paraId="57E0A9C6">
            <w:pPr>
              <w:rPr>
                <w:rFonts w:ascii="宋体" w:hAnsi="宋体" w:cs="宋体"/>
                <w:szCs w:val="21"/>
              </w:rPr>
            </w:pPr>
            <w:r>
              <w:rPr>
                <w:rFonts w:hint="eastAsia" w:ascii="宋体" w:hAnsi="宋体" w:cs="宋体"/>
                <w:szCs w:val="21"/>
              </w:rPr>
              <w:t>△信用承诺书</w:t>
            </w:r>
          </w:p>
        </w:tc>
      </w:tr>
      <w:tr w14:paraId="27415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1150" w:type="dxa"/>
            <w:vMerge w:val="continue"/>
            <w:noWrap w:val="0"/>
            <w:vAlign w:val="center"/>
          </w:tcPr>
          <w:p w14:paraId="64F8DFF0">
            <w:pPr>
              <w:rPr>
                <w:rFonts w:ascii="宋体" w:hAnsi="宋体" w:cs="宋体"/>
                <w:szCs w:val="21"/>
              </w:rPr>
            </w:pPr>
          </w:p>
        </w:tc>
        <w:tc>
          <w:tcPr>
            <w:tcW w:w="2502" w:type="dxa"/>
            <w:vMerge w:val="continue"/>
            <w:noWrap w:val="0"/>
            <w:vAlign w:val="top"/>
          </w:tcPr>
          <w:p w14:paraId="392C0393">
            <w:pPr>
              <w:rPr>
                <w:rFonts w:ascii="宋体" w:hAnsi="宋体" w:cs="宋体"/>
                <w:b/>
                <w:bCs/>
                <w:szCs w:val="21"/>
              </w:rPr>
            </w:pPr>
          </w:p>
        </w:tc>
        <w:tc>
          <w:tcPr>
            <w:tcW w:w="6043" w:type="dxa"/>
            <w:noWrap w:val="0"/>
            <w:vAlign w:val="center"/>
          </w:tcPr>
          <w:p w14:paraId="046A66B2">
            <w:pPr>
              <w:rPr>
                <w:rFonts w:ascii="宋体" w:hAnsi="宋体" w:cs="宋体"/>
                <w:szCs w:val="21"/>
              </w:rPr>
            </w:pPr>
            <w:r>
              <w:rPr>
                <w:rFonts w:hint="eastAsia" w:ascii="宋体" w:hAnsi="宋体" w:cs="宋体"/>
                <w:szCs w:val="21"/>
              </w:rPr>
              <w:t>△资格承诺声明函</w:t>
            </w:r>
          </w:p>
        </w:tc>
      </w:tr>
      <w:tr w14:paraId="7A59B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3151B371">
            <w:pPr>
              <w:rPr>
                <w:rFonts w:ascii="宋体" w:hAnsi="宋体" w:cs="宋体"/>
                <w:szCs w:val="21"/>
              </w:rPr>
            </w:pPr>
          </w:p>
        </w:tc>
        <w:tc>
          <w:tcPr>
            <w:tcW w:w="2502" w:type="dxa"/>
            <w:vMerge w:val="continue"/>
            <w:noWrap w:val="0"/>
            <w:vAlign w:val="top"/>
          </w:tcPr>
          <w:p w14:paraId="129183E6">
            <w:pPr>
              <w:rPr>
                <w:rFonts w:ascii="宋体" w:hAnsi="宋体" w:cs="宋体"/>
                <w:b/>
                <w:bCs/>
                <w:szCs w:val="21"/>
              </w:rPr>
            </w:pPr>
          </w:p>
        </w:tc>
        <w:tc>
          <w:tcPr>
            <w:tcW w:w="6043" w:type="dxa"/>
            <w:noWrap w:val="0"/>
            <w:vAlign w:val="center"/>
          </w:tcPr>
          <w:p w14:paraId="59ABC9CE">
            <w:pPr>
              <w:rPr>
                <w:rFonts w:ascii="宋体" w:hAnsi="宋体" w:cs="宋体"/>
                <w:szCs w:val="21"/>
              </w:rPr>
            </w:pPr>
            <w:r>
              <w:rPr>
                <w:rFonts w:hint="eastAsia" w:ascii="宋体" w:hAnsi="宋体" w:cs="宋体"/>
                <w:szCs w:val="21"/>
              </w:rPr>
              <w:t>△落实政府采购政策需满足的资格条件（详见第一章“采购邀请”）：</w:t>
            </w:r>
            <w:r>
              <w:rPr>
                <w:rFonts w:ascii="宋体" w:hAnsi="宋体"/>
                <w:b/>
                <w:bCs/>
              </w:rPr>
              <w:t>如采购公告中明确专门面向中小/小微企业采购，须按要求提供中小企业声明函</w:t>
            </w:r>
          </w:p>
        </w:tc>
      </w:tr>
      <w:tr w14:paraId="32760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1F73A276">
            <w:pPr>
              <w:rPr>
                <w:rFonts w:ascii="宋体" w:hAnsi="宋体" w:cs="宋体"/>
                <w:szCs w:val="21"/>
              </w:rPr>
            </w:pPr>
          </w:p>
        </w:tc>
        <w:tc>
          <w:tcPr>
            <w:tcW w:w="2502" w:type="dxa"/>
            <w:vMerge w:val="continue"/>
            <w:noWrap w:val="0"/>
            <w:vAlign w:val="top"/>
          </w:tcPr>
          <w:p w14:paraId="26D6F221">
            <w:pPr>
              <w:rPr>
                <w:rFonts w:ascii="宋体" w:hAnsi="宋体" w:cs="宋体"/>
                <w:b/>
                <w:bCs/>
                <w:szCs w:val="21"/>
              </w:rPr>
            </w:pPr>
          </w:p>
        </w:tc>
        <w:tc>
          <w:tcPr>
            <w:tcW w:w="6043" w:type="dxa"/>
            <w:noWrap w:val="0"/>
            <w:vAlign w:val="center"/>
          </w:tcPr>
          <w:p w14:paraId="22730EBE">
            <w:pPr>
              <w:rPr>
                <w:rFonts w:ascii="宋体" w:hAnsi="宋体" w:cs="宋体"/>
                <w:szCs w:val="21"/>
              </w:rPr>
            </w:pPr>
            <w:r>
              <w:rPr>
                <w:rFonts w:hint="eastAsia" w:ascii="宋体" w:hAnsi="宋体" w:cs="宋体"/>
                <w:szCs w:val="21"/>
              </w:rPr>
              <w:t>△联合体协议（如有）</w:t>
            </w:r>
          </w:p>
        </w:tc>
      </w:tr>
      <w:tr w14:paraId="7164B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150" w:type="dxa"/>
            <w:vMerge w:val="continue"/>
            <w:noWrap w:val="0"/>
            <w:vAlign w:val="center"/>
          </w:tcPr>
          <w:p w14:paraId="0C2BEF8F">
            <w:pPr>
              <w:rPr>
                <w:rFonts w:ascii="宋体" w:hAnsi="宋体" w:cs="宋体"/>
                <w:szCs w:val="21"/>
              </w:rPr>
            </w:pPr>
          </w:p>
        </w:tc>
        <w:tc>
          <w:tcPr>
            <w:tcW w:w="2502" w:type="dxa"/>
            <w:vMerge w:val="continue"/>
            <w:noWrap w:val="0"/>
            <w:vAlign w:val="top"/>
          </w:tcPr>
          <w:p w14:paraId="51222419">
            <w:pPr>
              <w:rPr>
                <w:rFonts w:ascii="宋体" w:hAnsi="宋体" w:cs="宋体"/>
                <w:b/>
                <w:bCs/>
                <w:szCs w:val="21"/>
              </w:rPr>
            </w:pPr>
          </w:p>
        </w:tc>
        <w:tc>
          <w:tcPr>
            <w:tcW w:w="6043" w:type="dxa"/>
            <w:noWrap w:val="0"/>
            <w:vAlign w:val="center"/>
          </w:tcPr>
          <w:p w14:paraId="5AB45799">
            <w:pPr>
              <w:rPr>
                <w:rFonts w:ascii="宋体" w:hAnsi="宋体" w:cs="宋体"/>
                <w:szCs w:val="21"/>
              </w:rPr>
            </w:pPr>
            <w:r>
              <w:rPr>
                <w:rFonts w:hint="eastAsia" w:ascii="宋体" w:hAnsi="宋体" w:cs="宋体"/>
                <w:szCs w:val="21"/>
              </w:rPr>
              <w:t>△特定资格条件（详见“第三章 资格审查”—“第二节 资格审查要求”）</w:t>
            </w:r>
          </w:p>
        </w:tc>
      </w:tr>
      <w:tr w14:paraId="72B08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0" w:type="dxa"/>
            <w:vMerge w:val="continue"/>
            <w:noWrap w:val="0"/>
            <w:vAlign w:val="center"/>
          </w:tcPr>
          <w:p w14:paraId="76880756">
            <w:pPr>
              <w:rPr>
                <w:rFonts w:ascii="宋体" w:hAnsi="宋体" w:cs="宋体"/>
                <w:szCs w:val="21"/>
              </w:rPr>
            </w:pPr>
          </w:p>
        </w:tc>
        <w:tc>
          <w:tcPr>
            <w:tcW w:w="2502" w:type="dxa"/>
            <w:vMerge w:val="restart"/>
            <w:noWrap w:val="0"/>
            <w:vAlign w:val="center"/>
          </w:tcPr>
          <w:p w14:paraId="4D0B28BC">
            <w:pPr>
              <w:ind w:firstLine="843"/>
              <w:rPr>
                <w:rFonts w:ascii="宋体" w:hAnsi="宋体" w:cs="宋体"/>
                <w:b/>
                <w:bCs/>
                <w:szCs w:val="21"/>
              </w:rPr>
            </w:pPr>
            <w:r>
              <w:rPr>
                <w:rFonts w:hint="eastAsia" w:ascii="宋体" w:hAnsi="宋体" w:cs="宋体"/>
                <w:b/>
                <w:bCs/>
                <w:szCs w:val="21"/>
              </w:rPr>
              <w:t>符合条件</w:t>
            </w:r>
          </w:p>
        </w:tc>
        <w:tc>
          <w:tcPr>
            <w:tcW w:w="6043" w:type="dxa"/>
            <w:noWrap w:val="0"/>
            <w:vAlign w:val="center"/>
          </w:tcPr>
          <w:p w14:paraId="14196123">
            <w:pPr>
              <w:rPr>
                <w:rFonts w:ascii="宋体" w:hAnsi="宋体" w:cs="宋体"/>
                <w:szCs w:val="21"/>
              </w:rPr>
            </w:pPr>
            <w:r>
              <w:rPr>
                <w:rFonts w:hint="eastAsia" w:ascii="宋体" w:hAnsi="宋体" w:cs="宋体"/>
                <w:szCs w:val="21"/>
              </w:rPr>
              <w:t>*报价明细表</w:t>
            </w:r>
          </w:p>
        </w:tc>
      </w:tr>
      <w:tr w14:paraId="0D025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150" w:type="dxa"/>
            <w:vMerge w:val="continue"/>
            <w:noWrap w:val="0"/>
            <w:vAlign w:val="center"/>
          </w:tcPr>
          <w:p w14:paraId="4A0F4955">
            <w:pPr>
              <w:rPr>
                <w:rFonts w:ascii="宋体" w:hAnsi="宋体" w:cs="宋体"/>
                <w:szCs w:val="21"/>
              </w:rPr>
            </w:pPr>
          </w:p>
        </w:tc>
        <w:tc>
          <w:tcPr>
            <w:tcW w:w="2502" w:type="dxa"/>
            <w:vMerge w:val="continue"/>
            <w:noWrap w:val="0"/>
            <w:vAlign w:val="top"/>
          </w:tcPr>
          <w:p w14:paraId="08DCF2C6">
            <w:pPr>
              <w:ind w:firstLine="422"/>
              <w:rPr>
                <w:rFonts w:ascii="宋体" w:hAnsi="宋体" w:cs="宋体"/>
                <w:b/>
                <w:bCs/>
                <w:szCs w:val="21"/>
              </w:rPr>
            </w:pPr>
          </w:p>
        </w:tc>
        <w:tc>
          <w:tcPr>
            <w:tcW w:w="6043" w:type="dxa"/>
            <w:noWrap w:val="0"/>
            <w:vAlign w:val="center"/>
          </w:tcPr>
          <w:p w14:paraId="49D39FD3">
            <w:pPr>
              <w:rPr>
                <w:rFonts w:ascii="宋体" w:hAnsi="宋体" w:cs="宋体"/>
                <w:szCs w:val="21"/>
              </w:rPr>
            </w:pPr>
            <w:r>
              <w:rPr>
                <w:rFonts w:hint="eastAsia" w:ascii="宋体" w:hAnsi="宋体" w:cs="宋体"/>
                <w:szCs w:val="21"/>
              </w:rPr>
              <w:t>*投标（响应）函</w:t>
            </w:r>
          </w:p>
        </w:tc>
      </w:tr>
      <w:tr w14:paraId="53E20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C6FEDC4">
            <w:pPr>
              <w:rPr>
                <w:rFonts w:ascii="宋体" w:hAnsi="宋体" w:cs="宋体"/>
                <w:szCs w:val="21"/>
              </w:rPr>
            </w:pPr>
          </w:p>
        </w:tc>
        <w:tc>
          <w:tcPr>
            <w:tcW w:w="2502" w:type="dxa"/>
            <w:vMerge w:val="continue"/>
            <w:noWrap w:val="0"/>
            <w:vAlign w:val="top"/>
          </w:tcPr>
          <w:p w14:paraId="56589EE0">
            <w:pPr>
              <w:rPr>
                <w:rFonts w:ascii="宋体" w:hAnsi="宋体" w:cs="宋体"/>
                <w:b/>
                <w:bCs/>
                <w:szCs w:val="21"/>
              </w:rPr>
            </w:pPr>
          </w:p>
        </w:tc>
        <w:tc>
          <w:tcPr>
            <w:tcW w:w="6043" w:type="dxa"/>
            <w:noWrap w:val="0"/>
            <w:vAlign w:val="center"/>
          </w:tcPr>
          <w:p w14:paraId="3B71E69C">
            <w:pPr>
              <w:rPr>
                <w:rFonts w:ascii="宋体" w:hAnsi="宋体" w:cs="宋体"/>
                <w:szCs w:val="21"/>
              </w:rPr>
            </w:pPr>
            <w:r>
              <w:rPr>
                <w:rFonts w:hint="eastAsia" w:ascii="宋体" w:hAnsi="宋体" w:cs="宋体"/>
                <w:szCs w:val="21"/>
              </w:rPr>
              <w:t>*技术偏离表</w:t>
            </w:r>
          </w:p>
        </w:tc>
      </w:tr>
      <w:tr w14:paraId="01A6F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noWrap w:val="0"/>
            <w:vAlign w:val="center"/>
          </w:tcPr>
          <w:p w14:paraId="72525EF7">
            <w:pPr>
              <w:rPr>
                <w:rFonts w:ascii="宋体" w:hAnsi="宋体" w:cs="宋体"/>
                <w:szCs w:val="21"/>
              </w:rPr>
            </w:pPr>
          </w:p>
        </w:tc>
        <w:tc>
          <w:tcPr>
            <w:tcW w:w="2502" w:type="dxa"/>
            <w:noWrap w:val="0"/>
            <w:vAlign w:val="top"/>
          </w:tcPr>
          <w:p w14:paraId="42E7DA33">
            <w:pPr>
              <w:ind w:firstLine="211"/>
              <w:rPr>
                <w:rFonts w:ascii="宋体" w:hAnsi="宋体" w:cs="宋体"/>
                <w:b/>
                <w:bCs/>
                <w:szCs w:val="21"/>
              </w:rPr>
            </w:pPr>
            <w:r>
              <w:rPr>
                <w:rFonts w:hint="eastAsia" w:ascii="宋体" w:hAnsi="宋体" w:cs="宋体"/>
                <w:b/>
                <w:bCs/>
                <w:szCs w:val="21"/>
              </w:rPr>
              <w:t xml:space="preserve"> 综合评审评分项</w:t>
            </w:r>
          </w:p>
        </w:tc>
        <w:tc>
          <w:tcPr>
            <w:tcW w:w="6043" w:type="dxa"/>
            <w:noWrap w:val="0"/>
            <w:vAlign w:val="top"/>
          </w:tcPr>
          <w:p w14:paraId="27ED030E">
            <w:pPr>
              <w:rPr>
                <w:rFonts w:ascii="宋体" w:hAnsi="宋体" w:cs="宋体"/>
                <w:szCs w:val="21"/>
              </w:rPr>
            </w:pPr>
            <w:r>
              <w:rPr>
                <w:rFonts w:hint="eastAsia" w:ascii="宋体" w:hAnsi="宋体" w:cs="宋体"/>
                <w:szCs w:val="21"/>
              </w:rPr>
              <w:t>采用综合评分法的项目，每项评分材料按第四章“评标方法和评标标准”评分细则中对应评分项目（或数字编号）分别上传。</w:t>
            </w:r>
          </w:p>
        </w:tc>
      </w:tr>
      <w:tr w14:paraId="6B2DC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noWrap w:val="0"/>
            <w:vAlign w:val="center"/>
          </w:tcPr>
          <w:p w14:paraId="525DEF0F">
            <w:pPr>
              <w:rPr>
                <w:rFonts w:ascii="宋体" w:hAnsi="宋体" w:cs="宋体"/>
                <w:szCs w:val="21"/>
              </w:rPr>
            </w:pPr>
          </w:p>
        </w:tc>
        <w:tc>
          <w:tcPr>
            <w:tcW w:w="2502" w:type="dxa"/>
            <w:noWrap w:val="0"/>
            <w:vAlign w:val="top"/>
          </w:tcPr>
          <w:p w14:paraId="69AA3149">
            <w:pPr>
              <w:ind w:firstLine="211"/>
              <w:rPr>
                <w:rFonts w:ascii="宋体" w:hAnsi="宋体" w:cs="宋体"/>
                <w:b/>
                <w:bCs/>
                <w:szCs w:val="21"/>
              </w:rPr>
            </w:pPr>
            <w:r>
              <w:rPr>
                <w:rFonts w:hint="eastAsia" w:ascii="宋体" w:hAnsi="宋体" w:cs="宋体"/>
                <w:b/>
                <w:bCs/>
                <w:szCs w:val="21"/>
              </w:rPr>
              <w:t>价格折扣文件格式</w:t>
            </w:r>
          </w:p>
        </w:tc>
        <w:tc>
          <w:tcPr>
            <w:tcW w:w="6043" w:type="dxa"/>
            <w:noWrap w:val="0"/>
            <w:vAlign w:val="top"/>
          </w:tcPr>
          <w:p w14:paraId="36028715">
            <w:pPr>
              <w:rPr>
                <w:rFonts w:ascii="宋体" w:hAnsi="宋体" w:cs="宋体"/>
                <w:szCs w:val="21"/>
              </w:rPr>
            </w:pPr>
            <w:r>
              <w:rPr>
                <w:rFonts w:hint="eastAsia" w:ascii="宋体" w:hAnsi="宋体" w:cs="宋体"/>
                <w:szCs w:val="21"/>
              </w:rPr>
              <w:t>企业报价折扣证明（</w:t>
            </w:r>
            <w:r>
              <w:rPr>
                <w:rFonts w:ascii="宋体" w:hAnsi="宋体"/>
              </w:rPr>
              <w:t>中小企业声明函</w:t>
            </w:r>
            <w:r>
              <w:rPr>
                <w:rFonts w:hint="eastAsia" w:ascii="宋体" w:hAnsi="宋体"/>
              </w:rPr>
              <w:t>或</w:t>
            </w:r>
            <w:r>
              <w:rPr>
                <w:rFonts w:ascii="宋体" w:hAnsi="宋体"/>
              </w:rPr>
              <w:t>监狱企业证明或残疾人福利性单位声明函</w:t>
            </w:r>
            <w:r>
              <w:rPr>
                <w:rFonts w:hint="eastAsia" w:ascii="宋体" w:hAnsi="宋体" w:cs="宋体"/>
                <w:szCs w:val="21"/>
              </w:rPr>
              <w:t>）</w:t>
            </w:r>
          </w:p>
        </w:tc>
      </w:tr>
      <w:tr w14:paraId="0E7CB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noWrap w:val="0"/>
            <w:vAlign w:val="center"/>
          </w:tcPr>
          <w:p w14:paraId="5A068D6C">
            <w:pPr>
              <w:rPr>
                <w:rFonts w:ascii="宋体" w:hAnsi="宋体" w:cs="宋体"/>
                <w:b/>
                <w:szCs w:val="21"/>
              </w:rPr>
            </w:pPr>
            <w:r>
              <w:rPr>
                <w:rFonts w:hint="eastAsia" w:ascii="宋体" w:hAnsi="宋体" w:cs="宋体"/>
                <w:b/>
                <w:szCs w:val="21"/>
              </w:rPr>
              <w:t>响应文件提交须知</w:t>
            </w:r>
          </w:p>
          <w:p w14:paraId="084C9165">
            <w:pPr>
              <w:rPr>
                <w:rFonts w:ascii="宋体" w:hAnsi="宋体" w:cs="宋体"/>
                <w:szCs w:val="21"/>
              </w:rPr>
            </w:pPr>
          </w:p>
        </w:tc>
        <w:tc>
          <w:tcPr>
            <w:tcW w:w="8545" w:type="dxa"/>
            <w:gridSpan w:val="2"/>
            <w:noWrap w:val="0"/>
            <w:vAlign w:val="top"/>
          </w:tcPr>
          <w:p w14:paraId="44C2D7D0">
            <w:pPr>
              <w:keepNext/>
              <w:spacing w:line="480" w:lineRule="exact"/>
              <w:jc w:val="left"/>
              <w:outlineLvl w:val="0"/>
              <w:rPr>
                <w:rFonts w:ascii="宋体" w:hAnsi="宋体"/>
                <w:b/>
                <w:bCs/>
                <w:szCs w:val="21"/>
                <w:u w:val="single"/>
              </w:rPr>
            </w:pPr>
            <w:bookmarkStart w:id="458" w:name="_Toc16958"/>
            <w:bookmarkStart w:id="459" w:name="_Toc3595"/>
            <w:bookmarkStart w:id="460" w:name="_Toc160609050"/>
            <w:r>
              <w:rPr>
                <w:rFonts w:hint="eastAsia" w:ascii="宋体" w:hAnsi="宋体" w:cs="宋体"/>
                <w:b/>
                <w:bCs/>
                <w:szCs w:val="21"/>
                <w:u w:val="single"/>
              </w:rPr>
              <w:t>1.本部分内容仅列明格式材料要求，不代表所有列出格式的材料必须全部提交，具体提交以磋商文件规定的资格条件、评分标准要求及磋商文件给定格式等内容为准。</w:t>
            </w:r>
            <w:bookmarkEnd w:id="458"/>
            <w:bookmarkEnd w:id="459"/>
            <w:bookmarkEnd w:id="460"/>
          </w:p>
          <w:p w14:paraId="1E53FF47">
            <w:pPr>
              <w:keepNext/>
              <w:spacing w:line="480" w:lineRule="exact"/>
              <w:jc w:val="left"/>
              <w:outlineLvl w:val="0"/>
              <w:rPr>
                <w:rFonts w:ascii="宋体" w:hAnsi="宋体" w:cs="宋体"/>
                <w:b/>
                <w:bCs/>
                <w:szCs w:val="21"/>
                <w:u w:val="single"/>
              </w:rPr>
            </w:pPr>
            <w:bookmarkStart w:id="461" w:name="_Toc10452"/>
            <w:bookmarkStart w:id="462" w:name="_Toc160609051"/>
            <w:bookmarkStart w:id="463" w:name="_Toc26573"/>
            <w:r>
              <w:rPr>
                <w:rFonts w:hint="eastAsia" w:ascii="宋体" w:hAnsi="宋体" w:cs="宋体"/>
                <w:b/>
                <w:bCs/>
                <w:szCs w:val="21"/>
                <w:u w:val="single"/>
              </w:rPr>
              <w:t>2.带“△”项材料如未按“第三章 资格审查”——“</w:t>
            </w:r>
            <w:r>
              <w:rPr>
                <w:rFonts w:ascii="宋体" w:hAnsi="宋体" w:cs="宋体"/>
                <w:b/>
                <w:bCs/>
                <w:szCs w:val="21"/>
                <w:u w:val="single"/>
              </w:rPr>
              <w:t>第二节资格审查要求</w:t>
            </w:r>
            <w:r>
              <w:rPr>
                <w:rFonts w:hint="eastAsia" w:ascii="宋体" w:hAnsi="宋体" w:cs="宋体"/>
                <w:b/>
                <w:bCs/>
                <w:szCs w:val="21"/>
                <w:u w:val="single"/>
              </w:rPr>
              <w:t>”要求提交，将作资格审查不通过处理，带“*”项材料如未按要求提交，将作无效响应处理。</w:t>
            </w:r>
            <w:bookmarkEnd w:id="461"/>
            <w:bookmarkEnd w:id="462"/>
            <w:bookmarkEnd w:id="463"/>
          </w:p>
          <w:p w14:paraId="4D91A0CE">
            <w:pPr>
              <w:keepNext/>
              <w:spacing w:line="480" w:lineRule="exact"/>
              <w:jc w:val="left"/>
              <w:outlineLvl w:val="0"/>
              <w:rPr>
                <w:rFonts w:ascii="宋体" w:hAnsi="宋体" w:cs="宋体"/>
                <w:b/>
                <w:bCs/>
                <w:szCs w:val="21"/>
                <w:u w:val="single"/>
              </w:rPr>
            </w:pPr>
            <w:bookmarkStart w:id="464" w:name="_Toc7633"/>
            <w:bookmarkStart w:id="465" w:name="_Toc160609052"/>
            <w:bookmarkStart w:id="466" w:name="_Toc4115"/>
            <w:r>
              <w:rPr>
                <w:rFonts w:hint="eastAsia" w:ascii="宋体" w:hAnsi="宋体" w:cs="宋体"/>
                <w:b/>
                <w:bCs/>
                <w:szCs w:val="21"/>
                <w:u w:val="single"/>
              </w:rPr>
              <w:t>3.供应商应严格按照以上顺序及要求对应上传响应文件，混乱的编排、上传、文件资料不清晰可辨导致响应文件被误读或查找不到相应内容，将导致资格审查不通过、评分项不得分、无效响应等严重后果。</w:t>
            </w:r>
            <w:bookmarkEnd w:id="464"/>
            <w:bookmarkEnd w:id="465"/>
            <w:bookmarkEnd w:id="466"/>
          </w:p>
          <w:p w14:paraId="3D624A70">
            <w:pPr>
              <w:keepNext/>
              <w:spacing w:line="480" w:lineRule="exact"/>
              <w:jc w:val="left"/>
              <w:outlineLvl w:val="0"/>
              <w:rPr>
                <w:rFonts w:ascii="宋体" w:hAnsi="宋体" w:cs="宋体"/>
                <w:b/>
                <w:bCs/>
                <w:szCs w:val="21"/>
                <w:u w:val="single"/>
              </w:rPr>
            </w:pPr>
            <w:bookmarkStart w:id="467" w:name="_Toc160609053"/>
            <w:bookmarkStart w:id="468" w:name="_Toc19137"/>
            <w:bookmarkStart w:id="469" w:name="_Toc27676"/>
            <w:r>
              <w:rPr>
                <w:rFonts w:hint="eastAsia" w:ascii="宋体" w:hAnsi="宋体" w:cs="宋体"/>
                <w:b/>
                <w:bCs/>
                <w:szCs w:val="21"/>
                <w:u w:val="single"/>
              </w:rPr>
              <w:t>4.响应文件应按照磋商文件要求的格式填写，无相应内容填写可填写“无”等明确的回答。</w:t>
            </w:r>
            <w:bookmarkEnd w:id="467"/>
            <w:bookmarkEnd w:id="468"/>
            <w:bookmarkEnd w:id="469"/>
          </w:p>
          <w:p w14:paraId="27595741">
            <w:pPr>
              <w:keepNext/>
              <w:spacing w:line="480" w:lineRule="exact"/>
              <w:jc w:val="left"/>
              <w:outlineLvl w:val="0"/>
              <w:rPr>
                <w:rFonts w:ascii="宋体" w:hAnsi="宋体" w:cs="宋体"/>
                <w:b/>
                <w:szCs w:val="21"/>
              </w:rPr>
            </w:pPr>
            <w:bookmarkStart w:id="470" w:name="_Toc16810"/>
            <w:bookmarkStart w:id="471" w:name="_Toc17701"/>
            <w:bookmarkStart w:id="472" w:name="_Toc160609054"/>
            <w:r>
              <w:rPr>
                <w:rFonts w:hint="eastAsia" w:ascii="宋体" w:hAnsi="宋体" w:cs="宋体"/>
                <w:b/>
                <w:bCs/>
                <w:szCs w:val="21"/>
                <w:u w:val="single"/>
              </w:rPr>
              <w:t>5.响应文件所附格式中要求填写的全部信息都必须正面回答并保证是真实准确的。</w:t>
            </w:r>
            <w:bookmarkEnd w:id="470"/>
            <w:bookmarkEnd w:id="471"/>
            <w:bookmarkEnd w:id="472"/>
          </w:p>
        </w:tc>
      </w:tr>
    </w:tbl>
    <w:p w14:paraId="05F5796E">
      <w:pPr>
        <w:spacing w:line="360" w:lineRule="auto"/>
        <w:jc w:val="center"/>
        <w:outlineLvl w:val="0"/>
        <w:rPr>
          <w:rFonts w:ascii="宋体" w:hAnsi="宋体"/>
          <w:b/>
          <w:sz w:val="24"/>
        </w:rPr>
      </w:pPr>
      <w:r>
        <w:rPr>
          <w:rFonts w:ascii="宋体" w:hAnsi="宋体"/>
        </w:rPr>
        <w:br w:type="page" w:clear="all"/>
      </w:r>
      <w:bookmarkStart w:id="473" w:name="_Toc2915"/>
      <w:r>
        <w:rPr>
          <w:rFonts w:ascii="宋体" w:hAnsi="宋体"/>
          <w:b/>
          <w:sz w:val="36"/>
          <w:szCs w:val="36"/>
        </w:rPr>
        <w:t>第八章</w:t>
      </w:r>
      <w:r>
        <w:rPr>
          <w:rFonts w:hint="eastAsia" w:ascii="宋体" w:hAnsi="宋体"/>
          <w:b/>
          <w:sz w:val="36"/>
          <w:szCs w:val="36"/>
        </w:rPr>
        <w:t xml:space="preserve"> 响应文件格式</w:t>
      </w:r>
      <w:bookmarkEnd w:id="473"/>
    </w:p>
    <w:p w14:paraId="6C82ECE7">
      <w:pPr>
        <w:tabs>
          <w:tab w:val="left" w:pos="900"/>
          <w:tab w:val="left" w:pos="1980"/>
        </w:tabs>
        <w:spacing w:line="360" w:lineRule="auto"/>
        <w:ind w:left="142"/>
        <w:rPr>
          <w:rFonts w:ascii="宋体" w:hAnsi="宋体"/>
          <w:b/>
          <w:sz w:val="24"/>
        </w:rPr>
      </w:pPr>
      <w:r>
        <w:rPr>
          <w:rFonts w:hint="eastAsia" w:ascii="宋体" w:hAnsi="宋体"/>
          <w:b/>
          <w:sz w:val="24"/>
        </w:rPr>
        <w:t>供应商编制文件须知</w:t>
      </w:r>
    </w:p>
    <w:p w14:paraId="79D94296">
      <w:pPr>
        <w:tabs>
          <w:tab w:val="left" w:pos="900"/>
          <w:tab w:val="left" w:pos="1980"/>
        </w:tabs>
        <w:spacing w:line="360" w:lineRule="auto"/>
        <w:ind w:left="142"/>
        <w:rPr>
          <w:rFonts w:ascii="宋体" w:hAnsi="宋体"/>
          <w:sz w:val="24"/>
        </w:rPr>
      </w:pPr>
      <w:r>
        <w:rPr>
          <w:rFonts w:ascii="宋体" w:hAnsi="宋体"/>
          <w:sz w:val="24"/>
        </w:rPr>
        <w:t>1、供应商按照本部分的顺序编制响应文件，编制中涉及格式资料的，应按照本部分提供的内容和格式（所有表格的格式可扩展）填写提交。</w:t>
      </w:r>
    </w:p>
    <w:p w14:paraId="474F1A62">
      <w:pPr>
        <w:tabs>
          <w:tab w:val="left" w:pos="900"/>
          <w:tab w:val="left" w:pos="1980"/>
        </w:tabs>
        <w:spacing w:line="360" w:lineRule="auto"/>
        <w:ind w:left="142"/>
        <w:rPr>
          <w:rFonts w:ascii="宋体" w:hAnsi="宋体"/>
          <w:sz w:val="24"/>
        </w:rPr>
      </w:pPr>
      <w:r>
        <w:rPr>
          <w:rFonts w:ascii="宋体" w:hAnsi="宋体"/>
          <w:sz w:val="24"/>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否则响应无效</w:t>
      </w:r>
      <w:r>
        <w:rPr>
          <w:rFonts w:ascii="宋体" w:hAnsi="宋体"/>
          <w:sz w:val="24"/>
        </w:rPr>
        <w:t>。未标记“实质性格式”的文件和竞争性磋商文件未提供格式的内容，可由供应商自行编写。</w:t>
      </w:r>
    </w:p>
    <w:p w14:paraId="3DDDF266">
      <w:pPr>
        <w:tabs>
          <w:tab w:val="left" w:pos="900"/>
          <w:tab w:val="left" w:pos="1980"/>
        </w:tabs>
        <w:spacing w:line="360" w:lineRule="auto"/>
        <w:ind w:left="142"/>
        <w:rPr>
          <w:rFonts w:ascii="宋体" w:hAnsi="宋体"/>
          <w:sz w:val="24"/>
        </w:rPr>
      </w:pPr>
      <w:r>
        <w:rPr>
          <w:rFonts w:ascii="宋体" w:hAnsi="宋体"/>
          <w:sz w:val="24"/>
        </w:rPr>
        <w:t>3、全部声明和问题的回答及所附材料必须是真实的、准确的和完整的。</w:t>
      </w:r>
    </w:p>
    <w:p w14:paraId="2823F888">
      <w:pPr>
        <w:tabs>
          <w:tab w:val="left" w:pos="900"/>
          <w:tab w:val="left" w:pos="1980"/>
        </w:tabs>
        <w:spacing w:line="360" w:lineRule="auto"/>
        <w:ind w:left="142"/>
        <w:rPr>
          <w:rFonts w:ascii="宋体" w:hAnsi="宋体"/>
          <w:sz w:val="24"/>
        </w:rPr>
      </w:pPr>
      <w:r>
        <w:rPr>
          <w:rFonts w:hint="eastAsia" w:ascii="宋体" w:hAnsi="宋体"/>
          <w:sz w:val="24"/>
        </w:rPr>
        <w:t>4、实行电子化不见面交易方式的，加盖公章、签名等均通过</w:t>
      </w:r>
      <w:r>
        <w:rPr>
          <w:rFonts w:ascii="宋体" w:hAnsi="宋体"/>
          <w:sz w:val="24"/>
        </w:rPr>
        <w:t>响应文件编制工具</w:t>
      </w:r>
      <w:r>
        <w:rPr>
          <w:rFonts w:hint="eastAsia" w:ascii="宋体" w:hAnsi="宋体"/>
          <w:sz w:val="24"/>
        </w:rPr>
        <w:t>加盖电子公章、</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p>
    <w:p w14:paraId="2D7DC62A">
      <w:pPr>
        <w:tabs>
          <w:tab w:val="left" w:pos="900"/>
          <w:tab w:val="left" w:pos="1980"/>
        </w:tabs>
        <w:spacing w:line="360" w:lineRule="auto"/>
        <w:ind w:left="142"/>
        <w:rPr>
          <w:rFonts w:ascii="宋体" w:hAnsi="宋体"/>
          <w:sz w:val="24"/>
        </w:rPr>
      </w:pPr>
    </w:p>
    <w:p w14:paraId="0E26623D">
      <w:pPr>
        <w:widowControl/>
        <w:spacing w:line="360" w:lineRule="auto"/>
        <w:jc w:val="left"/>
        <w:rPr>
          <w:rFonts w:ascii="宋体" w:hAnsi="宋体"/>
          <w:sz w:val="24"/>
        </w:rPr>
      </w:pPr>
      <w:r>
        <w:rPr>
          <w:rFonts w:ascii="宋体" w:hAnsi="宋体"/>
          <w:sz w:val="24"/>
        </w:rPr>
        <w:br w:type="page" w:clear="all"/>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4C1106E2">
      <w:pPr>
        <w:keepNext/>
        <w:keepLines/>
        <w:widowControl/>
        <w:spacing w:after="120" w:line="360" w:lineRule="auto"/>
        <w:jc w:val="center"/>
        <w:outlineLvl w:val="0"/>
        <w:rPr>
          <w:rFonts w:ascii="宋体" w:hAnsi="宋体"/>
          <w:b/>
          <w:spacing w:val="20"/>
          <w:sz w:val="32"/>
          <w:szCs w:val="32"/>
        </w:rPr>
      </w:pPr>
      <w:bookmarkStart w:id="474" w:name="_Toc152678678"/>
      <w:bookmarkStart w:id="475" w:name="_Toc27648"/>
      <w:bookmarkStart w:id="476" w:name="_Toc30833"/>
      <w:bookmarkStart w:id="477" w:name="_Toc160609056"/>
      <w:r>
        <w:rPr>
          <w:rFonts w:ascii="宋体" w:hAnsi="宋体"/>
          <w:b/>
          <w:spacing w:val="20"/>
          <w:sz w:val="32"/>
          <w:szCs w:val="32"/>
        </w:rPr>
        <w:t>一</w:t>
      </w:r>
      <w:r>
        <w:rPr>
          <w:rFonts w:hint="eastAsia" w:ascii="宋体" w:hAnsi="宋体"/>
          <w:b/>
          <w:spacing w:val="20"/>
          <w:sz w:val="32"/>
          <w:szCs w:val="32"/>
        </w:rPr>
        <w:t>、</w:t>
      </w:r>
      <w:r>
        <w:rPr>
          <w:rFonts w:ascii="宋体" w:hAnsi="宋体"/>
          <w:b/>
          <w:spacing w:val="20"/>
          <w:sz w:val="32"/>
          <w:szCs w:val="32"/>
        </w:rPr>
        <w:t>响应文件封面</w:t>
      </w:r>
      <w:bookmarkEnd w:id="474"/>
      <w:bookmarkEnd w:id="475"/>
      <w:bookmarkEnd w:id="476"/>
      <w:bookmarkEnd w:id="477"/>
    </w:p>
    <w:p w14:paraId="177C47D7">
      <w:pPr>
        <w:spacing w:line="360" w:lineRule="auto"/>
        <w:jc w:val="center"/>
        <w:rPr>
          <w:rFonts w:ascii="宋体" w:hAnsi="宋体"/>
          <w:szCs w:val="21"/>
        </w:rPr>
      </w:pPr>
    </w:p>
    <w:p w14:paraId="013C613D">
      <w:pPr>
        <w:spacing w:line="360" w:lineRule="auto"/>
        <w:jc w:val="center"/>
        <w:rPr>
          <w:rFonts w:ascii="宋体" w:hAnsi="宋体"/>
          <w:b/>
          <w:spacing w:val="60"/>
          <w:sz w:val="84"/>
          <w:szCs w:val="84"/>
        </w:rPr>
      </w:pPr>
    </w:p>
    <w:p w14:paraId="53FE8717">
      <w:pPr>
        <w:spacing w:line="360" w:lineRule="auto"/>
        <w:jc w:val="center"/>
        <w:rPr>
          <w:rFonts w:ascii="宋体" w:hAnsi="宋体"/>
          <w:b/>
          <w:spacing w:val="60"/>
          <w:sz w:val="84"/>
          <w:szCs w:val="84"/>
        </w:rPr>
      </w:pPr>
      <w:r>
        <w:rPr>
          <w:rFonts w:ascii="宋体" w:hAnsi="宋体"/>
          <w:b/>
          <w:spacing w:val="60"/>
          <w:sz w:val="84"/>
          <w:szCs w:val="84"/>
        </w:rPr>
        <w:t>响 应 文 件</w:t>
      </w:r>
    </w:p>
    <w:p w14:paraId="51CCCE31">
      <w:pPr>
        <w:spacing w:line="360" w:lineRule="auto"/>
        <w:jc w:val="center"/>
        <w:rPr>
          <w:rFonts w:ascii="宋体" w:hAnsi="宋体"/>
          <w:b/>
          <w:spacing w:val="60"/>
          <w:sz w:val="52"/>
          <w:szCs w:val="52"/>
        </w:rPr>
      </w:pPr>
    </w:p>
    <w:p w14:paraId="3BB7645A">
      <w:pPr>
        <w:spacing w:line="360" w:lineRule="auto"/>
        <w:jc w:val="center"/>
        <w:rPr>
          <w:rFonts w:ascii="宋体" w:hAnsi="宋体"/>
          <w:b/>
          <w:spacing w:val="60"/>
          <w:sz w:val="52"/>
          <w:szCs w:val="52"/>
        </w:rPr>
      </w:pPr>
    </w:p>
    <w:p w14:paraId="11AA91B3">
      <w:pPr>
        <w:spacing w:line="360" w:lineRule="auto"/>
        <w:jc w:val="center"/>
        <w:rPr>
          <w:rFonts w:ascii="宋体" w:hAnsi="宋体"/>
          <w:b/>
          <w:spacing w:val="60"/>
          <w:sz w:val="52"/>
          <w:szCs w:val="52"/>
        </w:rPr>
      </w:pPr>
    </w:p>
    <w:p w14:paraId="6262D590">
      <w:pPr>
        <w:spacing w:line="360" w:lineRule="auto"/>
        <w:jc w:val="center"/>
        <w:rPr>
          <w:rFonts w:ascii="宋体" w:hAnsi="宋体"/>
          <w:b/>
          <w:spacing w:val="60"/>
          <w:sz w:val="52"/>
          <w:szCs w:val="52"/>
        </w:rPr>
      </w:pPr>
    </w:p>
    <w:p w14:paraId="1133C8E1">
      <w:pPr>
        <w:spacing w:line="360" w:lineRule="auto"/>
        <w:jc w:val="center"/>
        <w:rPr>
          <w:rFonts w:ascii="宋体" w:hAnsi="宋体"/>
          <w:b/>
          <w:spacing w:val="60"/>
          <w:sz w:val="52"/>
          <w:szCs w:val="52"/>
        </w:rPr>
      </w:pPr>
    </w:p>
    <w:p w14:paraId="1DE8B0F8">
      <w:pPr>
        <w:spacing w:line="360" w:lineRule="auto"/>
        <w:ind w:firstLine="1084"/>
        <w:rPr>
          <w:rFonts w:ascii="宋体" w:hAnsi="宋体"/>
          <w:b/>
          <w:sz w:val="36"/>
        </w:rPr>
      </w:pPr>
      <w:r>
        <w:rPr>
          <w:rFonts w:hint="eastAsia" w:ascii="宋体" w:hAnsi="宋体"/>
          <w:b/>
          <w:sz w:val="36"/>
        </w:rPr>
        <w:t>项 目 名 称：</w:t>
      </w:r>
    </w:p>
    <w:p w14:paraId="612D739F">
      <w:pPr>
        <w:spacing w:line="360" w:lineRule="auto"/>
        <w:ind w:firstLine="1084"/>
        <w:rPr>
          <w:rFonts w:ascii="宋体" w:hAnsi="宋体"/>
          <w:b/>
          <w:sz w:val="36"/>
          <w:u w:val="single"/>
        </w:rPr>
      </w:pPr>
      <w:r>
        <w:rPr>
          <w:rFonts w:hint="eastAsia" w:ascii="宋体" w:hAnsi="宋体"/>
          <w:b/>
          <w:sz w:val="36"/>
        </w:rPr>
        <w:t>项 目 编 号：</w:t>
      </w:r>
    </w:p>
    <w:p w14:paraId="5915B952">
      <w:pPr>
        <w:spacing w:line="360" w:lineRule="auto"/>
        <w:rPr>
          <w:rFonts w:ascii="宋体" w:hAnsi="宋体"/>
          <w:b/>
          <w:sz w:val="36"/>
          <w:u w:val="single"/>
        </w:rPr>
      </w:pPr>
      <w:r>
        <w:rPr>
          <w:rFonts w:hint="eastAsia" w:ascii="宋体" w:hAnsi="宋体"/>
          <w:b/>
          <w:sz w:val="36"/>
        </w:rPr>
        <w:t xml:space="preserve">      供应商名称 ：</w:t>
      </w:r>
      <w:bookmarkStart w:id="478" w:name="_Hlk149916267"/>
      <w:r>
        <w:rPr>
          <w:rFonts w:hint="eastAsia" w:ascii="宋体" w:hAnsi="宋体"/>
          <w:b/>
          <w:sz w:val="36"/>
          <w:szCs w:val="21"/>
          <w:u w:val="single"/>
        </w:rPr>
        <w:t>（加盖CA电子公章）</w:t>
      </w:r>
      <w:bookmarkEnd w:id="478"/>
    </w:p>
    <w:p w14:paraId="572C3434">
      <w:pPr>
        <w:spacing w:line="360" w:lineRule="auto"/>
        <w:rPr>
          <w:rFonts w:ascii="宋体" w:hAnsi="宋体"/>
          <w:b/>
          <w:sz w:val="36"/>
        </w:rPr>
      </w:pPr>
      <w:r>
        <w:rPr>
          <w:rFonts w:hint="eastAsia" w:ascii="宋体" w:hAnsi="宋体"/>
          <w:b/>
          <w:sz w:val="36"/>
        </w:rPr>
        <w:t xml:space="preserve">      日      期 ：</w:t>
      </w:r>
    </w:p>
    <w:p w14:paraId="6876832F">
      <w:pPr>
        <w:spacing w:line="360" w:lineRule="auto"/>
        <w:jc w:val="center"/>
        <w:rPr>
          <w:rFonts w:ascii="宋体" w:hAnsi="宋体"/>
          <w:b/>
          <w:sz w:val="32"/>
          <w:szCs w:val="32"/>
        </w:rPr>
      </w:pPr>
    </w:p>
    <w:p w14:paraId="7953B12D">
      <w:pPr>
        <w:keepNext/>
        <w:keepLines/>
        <w:widowControl/>
        <w:spacing w:after="120" w:line="360" w:lineRule="auto"/>
        <w:jc w:val="center"/>
        <w:outlineLvl w:val="0"/>
        <w:rPr>
          <w:rFonts w:ascii="宋体" w:hAnsi="宋体"/>
          <w:b/>
          <w:sz w:val="28"/>
          <w:szCs w:val="28"/>
        </w:rPr>
      </w:pPr>
      <w:r>
        <w:rPr>
          <w:rFonts w:ascii="宋体" w:hAnsi="宋体"/>
          <w:b/>
          <w:spacing w:val="20"/>
          <w:sz w:val="32"/>
          <w:szCs w:val="32"/>
        </w:rPr>
        <w:br w:type="page" w:clear="all"/>
      </w:r>
      <w:bookmarkStart w:id="479" w:name="_Toc160609057"/>
      <w:bookmarkStart w:id="480" w:name="_Toc152678679"/>
      <w:bookmarkStart w:id="481" w:name="_Toc31229"/>
      <w:bookmarkStart w:id="482" w:name="_Toc23974"/>
      <w:r>
        <w:rPr>
          <w:rFonts w:hint="eastAsia" w:ascii="宋体" w:hAnsi="宋体"/>
          <w:b/>
          <w:spacing w:val="20"/>
          <w:sz w:val="32"/>
          <w:szCs w:val="32"/>
        </w:rPr>
        <w:t>二、报价一览表（实质性格式）</w:t>
      </w:r>
      <w:bookmarkEnd w:id="479"/>
      <w:bookmarkEnd w:id="480"/>
      <w:bookmarkEnd w:id="481"/>
      <w:bookmarkEnd w:id="482"/>
    </w:p>
    <w:p w14:paraId="60EA28FA">
      <w:pPr>
        <w:spacing w:line="360" w:lineRule="auto"/>
        <w:rPr>
          <w:rFonts w:ascii="宋体" w:hAnsi="宋体"/>
          <w:b/>
          <w:sz w:val="24"/>
        </w:rPr>
      </w:pPr>
      <w:r>
        <w:rPr>
          <w:rFonts w:hint="eastAsia" w:ascii="宋体" w:hAnsi="宋体"/>
          <w:b w:val="0"/>
          <w:bCs/>
          <w:sz w:val="24"/>
        </w:rPr>
        <w:t>（一）供应商在提交响应文件时，应按照投标工具（苏采云客户端）的提示流程编制提交报价一览表，报价一览表格式以投标工具中的为准。</w:t>
      </w:r>
    </w:p>
    <w:p w14:paraId="33B8F6F7">
      <w:pPr>
        <w:spacing w:line="360" w:lineRule="auto"/>
        <w:jc w:val="left"/>
        <w:rPr>
          <w:rFonts w:ascii="宋体" w:hAnsi="宋体"/>
          <w:b/>
          <w:color w:val="FF0000"/>
          <w:sz w:val="24"/>
        </w:rPr>
      </w:pPr>
      <w:r>
        <w:rPr>
          <w:rFonts w:hint="eastAsia" w:ascii="宋体" w:hAnsi="宋体"/>
          <w:b/>
          <w:color w:val="FF0000"/>
          <w:sz w:val="24"/>
        </w:rPr>
        <w:t xml:space="preserve"> </w:t>
      </w:r>
      <w:r>
        <w:rPr>
          <w:rFonts w:ascii="宋体" w:hAnsi="宋体"/>
          <w:b/>
          <w:color w:val="FF0000"/>
          <w:sz w:val="24"/>
        </w:rPr>
        <w:t xml:space="preserve">     </w:t>
      </w:r>
      <w:r>
        <w:rPr>
          <w:rFonts w:ascii="宋体" w:hAnsi="宋体" w:eastAsia="宋体"/>
          <w:b/>
          <w:color w:val="FF0000"/>
          <w:sz w:val="24"/>
        </w:rPr>
        <w:t xml:space="preserve">  注：</w:t>
      </w:r>
      <w:r>
        <w:rPr>
          <w:rFonts w:hint="eastAsia" w:ascii="宋体" w:hAnsi="宋体" w:eastAsia="宋体"/>
          <w:b/>
          <w:color w:val="FF0000"/>
          <w:sz w:val="24"/>
          <w:lang w:val="en-US" w:eastAsia="zh-CN"/>
        </w:rPr>
        <w:t>1.因苏采云系统设置，本项目</w:t>
      </w:r>
      <w:r>
        <w:rPr>
          <w:rFonts w:hint="eastAsia" w:ascii="宋体" w:hAnsi="宋体" w:eastAsia="宋体"/>
          <w:b/>
          <w:color w:val="FF0000"/>
          <w:sz w:val="24"/>
          <w:lang w:eastAsia="zh-CN"/>
        </w:rPr>
        <w:t>投标报价格式为：</w:t>
      </w:r>
      <w:r>
        <w:rPr>
          <w:rFonts w:hint="eastAsia" w:ascii="宋体" w:hAnsi="宋体" w:eastAsia="宋体"/>
          <w:b/>
          <w:color w:val="FF0000"/>
          <w:sz w:val="24"/>
        </w:rPr>
        <w:t>优惠</w:t>
      </w:r>
      <w:r>
        <w:rPr>
          <w:rFonts w:hint="eastAsia" w:ascii="宋体" w:hAnsi="宋体" w:eastAsia="宋体"/>
          <w:b/>
          <w:color w:val="FF0000"/>
          <w:sz w:val="24"/>
          <w:lang w:val="en-US" w:eastAsia="zh-CN"/>
        </w:rPr>
        <w:t>率</w:t>
      </w:r>
      <w:r>
        <w:rPr>
          <w:rFonts w:hint="eastAsia" w:ascii="宋体" w:hAnsi="宋体" w:eastAsia="宋体"/>
          <w:b/>
          <w:color w:val="FF0000"/>
          <w:sz w:val="24"/>
        </w:rPr>
        <w:t>。</w:t>
      </w:r>
    </w:p>
    <w:p w14:paraId="148252ED">
      <w:pPr>
        <w:spacing w:line="360" w:lineRule="auto"/>
        <w:rPr>
          <w:rFonts w:hint="eastAsia" w:ascii="宋体" w:hAnsi="宋体"/>
          <w:b/>
          <w:sz w:val="24"/>
        </w:rPr>
      </w:pPr>
    </w:p>
    <w:p w14:paraId="52855768">
      <w:pPr>
        <w:pStyle w:val="18"/>
      </w:pPr>
    </w:p>
    <w:p w14:paraId="08035E33">
      <w:pPr>
        <w:keepNext/>
        <w:keepLines/>
        <w:widowControl/>
        <w:spacing w:after="120" w:line="360" w:lineRule="auto"/>
        <w:jc w:val="center"/>
        <w:outlineLvl w:val="0"/>
        <w:rPr>
          <w:color w:val="000000"/>
          <w:sz w:val="24"/>
          <w:highlight w:val="none"/>
        </w:rPr>
      </w:pPr>
      <w:bookmarkStart w:id="483" w:name="_Toc160609058"/>
      <w:bookmarkStart w:id="484" w:name="_Toc9659"/>
      <w:bookmarkStart w:id="485" w:name="_Toc152678680"/>
      <w:bookmarkStart w:id="486" w:name="_Toc17652"/>
      <w:r>
        <w:rPr>
          <w:rFonts w:hint="eastAsia" w:ascii="宋体" w:hAnsi="宋体"/>
          <w:b/>
          <w:spacing w:val="20"/>
          <w:sz w:val="32"/>
          <w:szCs w:val="32"/>
        </w:rPr>
        <w:t>三、报价明细表</w:t>
      </w:r>
      <w:r>
        <w:rPr>
          <w:rFonts w:ascii="宋体" w:hAnsi="宋体"/>
          <w:b/>
          <w:spacing w:val="20"/>
          <w:sz w:val="32"/>
          <w:szCs w:val="32"/>
        </w:rPr>
        <w:t>（实质性格式）</w:t>
      </w:r>
      <w:bookmarkEnd w:id="483"/>
      <w:bookmarkEnd w:id="484"/>
      <w:bookmarkEnd w:id="485"/>
      <w:bookmarkEnd w:id="486"/>
      <w:bookmarkStart w:id="487" w:name="_Toc152678681"/>
    </w:p>
    <w:p w14:paraId="678E8C4C">
      <w:pPr>
        <w:keepNext/>
        <w:keepLines/>
        <w:widowControl/>
        <w:spacing w:after="120" w:line="360" w:lineRule="auto"/>
        <w:jc w:val="center"/>
        <w:outlineLvl w:val="0"/>
        <w:rPr>
          <w:rFonts w:hint="eastAsia" w:ascii="宋体" w:hAnsi="宋体"/>
          <w:b/>
          <w:spacing w:val="20"/>
          <w:sz w:val="32"/>
          <w:szCs w:val="32"/>
        </w:rPr>
      </w:pPr>
      <w:r>
        <w:rPr>
          <w:rFonts w:hint="eastAsia" w:ascii="宋体" w:hAnsi="宋体"/>
          <w:b/>
          <w:spacing w:val="20"/>
          <w:sz w:val="32"/>
          <w:szCs w:val="32"/>
        </w:rPr>
        <w:t>报价明细表</w:t>
      </w:r>
      <w:r>
        <w:rPr>
          <w:rFonts w:hint="eastAsia" w:ascii="宋体" w:hAnsi="宋体"/>
          <w:b/>
          <w:spacing w:val="20"/>
          <w:sz w:val="32"/>
          <w:szCs w:val="32"/>
          <w:lang w:eastAsia="zh-CN"/>
        </w:rPr>
        <w:t>（</w:t>
      </w:r>
      <w:r>
        <w:rPr>
          <w:rFonts w:hint="eastAsia" w:ascii="宋体" w:hAnsi="宋体"/>
          <w:b/>
          <w:spacing w:val="20"/>
          <w:sz w:val="32"/>
          <w:szCs w:val="32"/>
          <w:u w:val="single"/>
          <w:lang w:val="en-US" w:eastAsia="zh-CN"/>
        </w:rPr>
        <w:t xml:space="preserve">     </w:t>
      </w:r>
      <w:r>
        <w:rPr>
          <w:rFonts w:hint="eastAsia" w:ascii="宋体" w:hAnsi="宋体"/>
          <w:b/>
          <w:spacing w:val="20"/>
          <w:sz w:val="32"/>
          <w:szCs w:val="32"/>
          <w:lang w:val="en-US" w:eastAsia="zh-CN"/>
        </w:rPr>
        <w:t>包</w:t>
      </w:r>
      <w:r>
        <w:rPr>
          <w:rFonts w:hint="eastAsia" w:ascii="宋体" w:hAnsi="宋体"/>
          <w:b/>
          <w:spacing w:val="20"/>
          <w:sz w:val="32"/>
          <w:szCs w:val="32"/>
          <w:lang w:eastAsia="zh-CN"/>
        </w:rPr>
        <w:t>）</w:t>
      </w:r>
    </w:p>
    <w:p w14:paraId="7075614F">
      <w:pPr>
        <w:tabs>
          <w:tab w:val="left" w:pos="1800"/>
          <w:tab w:val="left" w:pos="5580"/>
        </w:tabs>
        <w:spacing w:line="360" w:lineRule="auto"/>
        <w:ind w:firstLine="240"/>
        <w:jc w:val="left"/>
        <w:outlineLvl w:val="9"/>
        <w:rPr>
          <w:color w:val="000000"/>
          <w:sz w:val="24"/>
          <w:highlight w:val="none"/>
          <w:u w:val="single"/>
        </w:rPr>
      </w:pPr>
      <w:r>
        <w:rPr>
          <w:color w:val="000000"/>
          <w:sz w:val="24"/>
          <w:highlight w:val="none"/>
        </w:rPr>
        <w:t>项目编号</w:t>
      </w:r>
      <w:r>
        <w:rPr>
          <w:color w:val="000000"/>
          <w:sz w:val="24"/>
          <w:szCs w:val="20"/>
          <w:highlight w:val="none"/>
        </w:rPr>
        <w:t>/包号</w:t>
      </w:r>
      <w:r>
        <w:rPr>
          <w:color w:val="000000"/>
          <w:sz w:val="24"/>
          <w:highlight w:val="none"/>
        </w:rPr>
        <w:t>：________________   项目名称：_______________________</w:t>
      </w:r>
    </w:p>
    <w:p w14:paraId="4C830947">
      <w:pPr>
        <w:jc w:val="left"/>
        <w:outlineLvl w:val="9"/>
        <w:rPr>
          <w:color w:val="000000"/>
          <w:sz w:val="24"/>
          <w:highlight w:val="none"/>
        </w:rPr>
      </w:pPr>
    </w:p>
    <w:tbl>
      <w:tblPr>
        <w:tblStyle w:val="49"/>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2"/>
        <w:gridCol w:w="2814"/>
        <w:gridCol w:w="2683"/>
        <w:gridCol w:w="2683"/>
      </w:tblGrid>
      <w:tr w14:paraId="56B1E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902" w:type="dxa"/>
            <w:noWrap w:val="0"/>
            <w:vAlign w:val="center"/>
          </w:tcPr>
          <w:p w14:paraId="7211F094">
            <w:pPr>
              <w:tabs>
                <w:tab w:val="left" w:pos="5580"/>
              </w:tabs>
              <w:jc w:val="center"/>
              <w:outlineLvl w:val="9"/>
              <w:rPr>
                <w:b/>
                <w:color w:val="000000"/>
                <w:sz w:val="24"/>
                <w:highlight w:val="none"/>
              </w:rPr>
            </w:pPr>
            <w:r>
              <w:rPr>
                <w:rFonts w:hint="eastAsia"/>
                <w:b/>
                <w:color w:val="000000"/>
                <w:sz w:val="24"/>
                <w:highlight w:val="none"/>
              </w:rPr>
              <w:t>序号</w:t>
            </w:r>
          </w:p>
        </w:tc>
        <w:tc>
          <w:tcPr>
            <w:tcW w:w="2814" w:type="dxa"/>
            <w:noWrap w:val="0"/>
            <w:vAlign w:val="center"/>
          </w:tcPr>
          <w:p w14:paraId="739EDA5B">
            <w:pPr>
              <w:tabs>
                <w:tab w:val="left" w:pos="5580"/>
              </w:tabs>
              <w:jc w:val="center"/>
              <w:outlineLvl w:val="9"/>
              <w:rPr>
                <w:b/>
                <w:color w:val="000000"/>
                <w:sz w:val="24"/>
                <w:highlight w:val="none"/>
              </w:rPr>
            </w:pPr>
            <w:r>
              <w:rPr>
                <w:rFonts w:hint="eastAsia"/>
                <w:b/>
                <w:color w:val="000000"/>
                <w:sz w:val="24"/>
                <w:highlight w:val="none"/>
              </w:rPr>
              <w:t>供应商名称</w:t>
            </w:r>
          </w:p>
        </w:tc>
        <w:tc>
          <w:tcPr>
            <w:tcW w:w="2683" w:type="dxa"/>
            <w:noWrap w:val="0"/>
            <w:vAlign w:val="center"/>
          </w:tcPr>
          <w:p w14:paraId="5FF96F36">
            <w:pPr>
              <w:tabs>
                <w:tab w:val="left" w:pos="5580"/>
              </w:tabs>
              <w:jc w:val="center"/>
              <w:outlineLvl w:val="9"/>
              <w:rPr>
                <w:rFonts w:hint="eastAsia" w:eastAsia="宋体"/>
                <w:b/>
                <w:color w:val="000000"/>
                <w:sz w:val="24"/>
                <w:highlight w:val="none"/>
                <w:lang w:eastAsia="zh-CN"/>
              </w:rPr>
            </w:pPr>
            <w:r>
              <w:rPr>
                <w:rFonts w:hint="eastAsia"/>
                <w:b/>
                <w:color w:val="000000"/>
                <w:sz w:val="24"/>
                <w:highlight w:val="none"/>
              </w:rPr>
              <w:t>折扣（%）</w:t>
            </w:r>
          </w:p>
        </w:tc>
        <w:tc>
          <w:tcPr>
            <w:tcW w:w="2683" w:type="dxa"/>
            <w:noWrap w:val="0"/>
            <w:vAlign w:val="center"/>
          </w:tcPr>
          <w:p w14:paraId="0334A66F">
            <w:pPr>
              <w:tabs>
                <w:tab w:val="left" w:pos="5580"/>
              </w:tabs>
              <w:jc w:val="center"/>
              <w:outlineLvl w:val="9"/>
              <w:rPr>
                <w:rFonts w:hint="eastAsia"/>
                <w:b/>
                <w:color w:val="000000"/>
                <w:sz w:val="24"/>
                <w:highlight w:val="none"/>
              </w:rPr>
            </w:pPr>
            <w:r>
              <w:rPr>
                <w:rFonts w:hint="eastAsia"/>
                <w:b/>
                <w:color w:val="000000"/>
                <w:sz w:val="24"/>
                <w:highlight w:val="none"/>
                <w:lang w:val="en-US" w:eastAsia="zh-CN"/>
              </w:rPr>
              <w:t>优惠</w:t>
            </w:r>
            <w:r>
              <w:rPr>
                <w:rFonts w:hint="eastAsia"/>
                <w:b/>
                <w:color w:val="000000"/>
                <w:sz w:val="24"/>
                <w:highlight w:val="none"/>
              </w:rPr>
              <w:t>率（%）</w:t>
            </w:r>
          </w:p>
        </w:tc>
      </w:tr>
      <w:tr w14:paraId="68C05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0" w:hRule="atLeast"/>
          <w:jc w:val="center"/>
        </w:trPr>
        <w:tc>
          <w:tcPr>
            <w:tcW w:w="902" w:type="dxa"/>
            <w:noWrap w:val="0"/>
            <w:vAlign w:val="center"/>
          </w:tcPr>
          <w:p w14:paraId="6856C363">
            <w:pPr>
              <w:tabs>
                <w:tab w:val="left" w:pos="5580"/>
              </w:tabs>
              <w:jc w:val="center"/>
              <w:outlineLvl w:val="9"/>
              <w:rPr>
                <w:color w:val="000000"/>
                <w:sz w:val="24"/>
                <w:highlight w:val="none"/>
              </w:rPr>
            </w:pPr>
          </w:p>
        </w:tc>
        <w:tc>
          <w:tcPr>
            <w:tcW w:w="2814" w:type="dxa"/>
            <w:noWrap w:val="0"/>
            <w:vAlign w:val="center"/>
          </w:tcPr>
          <w:p w14:paraId="394E9BE6">
            <w:pPr>
              <w:tabs>
                <w:tab w:val="left" w:pos="5580"/>
              </w:tabs>
              <w:jc w:val="center"/>
              <w:outlineLvl w:val="9"/>
              <w:rPr>
                <w:color w:val="000000"/>
                <w:sz w:val="24"/>
                <w:highlight w:val="none"/>
              </w:rPr>
            </w:pPr>
          </w:p>
        </w:tc>
        <w:tc>
          <w:tcPr>
            <w:tcW w:w="2683" w:type="dxa"/>
            <w:noWrap w:val="0"/>
            <w:vAlign w:val="center"/>
          </w:tcPr>
          <w:p w14:paraId="31DEE920">
            <w:pPr>
              <w:tabs>
                <w:tab w:val="left" w:pos="5580"/>
              </w:tabs>
              <w:jc w:val="left"/>
              <w:outlineLvl w:val="9"/>
              <w:rPr>
                <w:color w:val="000000"/>
                <w:sz w:val="24"/>
                <w:highlight w:val="none"/>
                <w:lang w:val="en-US"/>
              </w:rPr>
            </w:pPr>
          </w:p>
        </w:tc>
        <w:tc>
          <w:tcPr>
            <w:tcW w:w="2683" w:type="dxa"/>
            <w:noWrap w:val="0"/>
            <w:vAlign w:val="center"/>
          </w:tcPr>
          <w:p w14:paraId="76462A7D">
            <w:pPr>
              <w:tabs>
                <w:tab w:val="left" w:pos="5580"/>
              </w:tabs>
              <w:jc w:val="left"/>
              <w:outlineLvl w:val="9"/>
              <w:rPr>
                <w:rFonts w:hint="eastAsia" w:ascii="Times New Roman" w:hAnsi="Times New Roman" w:eastAsia="宋体" w:cs="宋体"/>
                <w:caps w:val="0"/>
                <w:color w:val="000000"/>
                <w:sz w:val="24"/>
                <w:szCs w:val="24"/>
                <w:highlight w:val="none"/>
                <w:u w:val="single"/>
                <w:lang w:val="en-US" w:eastAsia="zh-CN"/>
              </w:rPr>
            </w:pPr>
          </w:p>
        </w:tc>
      </w:tr>
    </w:tbl>
    <w:p w14:paraId="281C6119">
      <w:pPr>
        <w:spacing w:before="25" w:after="25" w:line="360" w:lineRule="auto"/>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注：1.例：折扣90%即</w:t>
      </w:r>
      <w:r>
        <w:rPr>
          <w:rFonts w:hint="eastAsia"/>
          <w:b/>
          <w:color w:val="000000"/>
          <w:sz w:val="24"/>
          <w:highlight w:val="none"/>
          <w:lang w:val="en-US" w:eastAsia="zh-CN"/>
        </w:rPr>
        <w:t>优惠</w:t>
      </w:r>
      <w:r>
        <w:rPr>
          <w:rFonts w:hint="eastAsia"/>
          <w:b/>
          <w:color w:val="000000"/>
          <w:sz w:val="24"/>
          <w:highlight w:val="none"/>
        </w:rPr>
        <w:t>率</w:t>
      </w:r>
      <w:r>
        <w:rPr>
          <w:rFonts w:hint="eastAsia" w:ascii="宋体" w:hAnsi="宋体" w:eastAsia="宋体" w:cs="宋体"/>
          <w:b/>
          <w:bCs/>
          <w:color w:val="000000"/>
          <w:sz w:val="24"/>
          <w:szCs w:val="24"/>
          <w:highlight w:val="none"/>
          <w:lang w:val="en-US" w:eastAsia="zh-CN"/>
        </w:rPr>
        <w:t>为10%；</w:t>
      </w:r>
    </w:p>
    <w:p w14:paraId="1FF1E9DE">
      <w:pPr>
        <w:spacing w:before="25" w:after="25" w:line="360" w:lineRule="auto"/>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2.磋商费率最多保留两位小数。</w:t>
      </w:r>
    </w:p>
    <w:p w14:paraId="546D47D8">
      <w:pPr>
        <w:spacing w:before="25" w:after="25" w:line="360" w:lineRule="auto"/>
        <w:outlineLvl w:val="9"/>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3.二次报价即最终报价，系统里填报</w:t>
      </w:r>
      <w:r>
        <w:rPr>
          <w:rFonts w:hint="eastAsia"/>
          <w:b/>
          <w:color w:val="000000"/>
          <w:sz w:val="24"/>
          <w:highlight w:val="none"/>
          <w:lang w:val="en-US" w:eastAsia="zh-CN"/>
        </w:rPr>
        <w:t>优惠</w:t>
      </w:r>
      <w:r>
        <w:rPr>
          <w:rFonts w:hint="eastAsia"/>
          <w:b/>
          <w:color w:val="000000"/>
          <w:sz w:val="24"/>
          <w:highlight w:val="none"/>
        </w:rPr>
        <w:t>率</w:t>
      </w:r>
      <w:r>
        <w:rPr>
          <w:rFonts w:hint="eastAsia" w:ascii="宋体" w:hAnsi="宋体" w:eastAsia="宋体" w:cs="宋体"/>
          <w:b/>
          <w:bCs/>
          <w:color w:val="000000"/>
          <w:sz w:val="24"/>
          <w:szCs w:val="24"/>
          <w:highlight w:val="none"/>
          <w:lang w:val="en-US" w:eastAsia="zh-CN"/>
        </w:rPr>
        <w:t>。</w:t>
      </w:r>
    </w:p>
    <w:p w14:paraId="68D0E506">
      <w:pPr>
        <w:spacing w:before="25" w:after="25" w:line="360" w:lineRule="auto"/>
        <w:outlineLvl w:val="9"/>
        <w:rPr>
          <w:color w:val="000000"/>
          <w:sz w:val="24"/>
          <w:highlight w:val="none"/>
          <w:lang w:val="zh-CN"/>
        </w:rPr>
      </w:pPr>
    </w:p>
    <w:p w14:paraId="15592116">
      <w:pPr>
        <w:spacing w:before="25" w:after="25" w:line="360" w:lineRule="auto"/>
        <w:outlineLvl w:val="9"/>
        <w:rPr>
          <w:color w:val="000000"/>
          <w:sz w:val="24"/>
          <w:highlight w:val="none"/>
          <w:lang w:val="zh-CN"/>
        </w:rPr>
      </w:pPr>
      <w:r>
        <w:rPr>
          <w:color w:val="000000"/>
          <w:sz w:val="24"/>
          <w:highlight w:val="none"/>
          <w:lang w:val="zh-CN"/>
        </w:rPr>
        <w:t xml:space="preserve">                         </w:t>
      </w:r>
    </w:p>
    <w:p w14:paraId="34677D8A">
      <w:pPr>
        <w:spacing w:before="25" w:after="25" w:line="360" w:lineRule="auto"/>
        <w:outlineLvl w:val="9"/>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132B8942">
      <w:pPr>
        <w:spacing w:before="25" w:after="25" w:line="360" w:lineRule="auto"/>
        <w:outlineLvl w:val="9"/>
        <w:rPr>
          <w:color w:val="000000"/>
          <w:sz w:val="24"/>
          <w:highlight w:val="none"/>
          <w:lang w:val="zh-CN"/>
        </w:rPr>
      </w:pPr>
      <w:r>
        <w:rPr>
          <w:color w:val="000000"/>
          <w:sz w:val="24"/>
          <w:szCs w:val="20"/>
          <w:highlight w:val="none"/>
        </w:rPr>
        <w:t xml:space="preserve">日期：_____年______月______日   </w:t>
      </w:r>
    </w:p>
    <w:p w14:paraId="1E15A3F8">
      <w:pPr>
        <w:widowControl/>
        <w:jc w:val="left"/>
        <w:rPr>
          <w:rFonts w:ascii="宋体" w:hAnsi="宋体"/>
          <w:b/>
          <w:spacing w:val="20"/>
          <w:sz w:val="32"/>
          <w:szCs w:val="32"/>
        </w:rPr>
      </w:pPr>
      <w:r>
        <w:rPr>
          <w:rFonts w:ascii="宋体" w:hAnsi="宋体"/>
          <w:b/>
          <w:spacing w:val="20"/>
          <w:sz w:val="32"/>
          <w:szCs w:val="32"/>
        </w:rPr>
        <w:br w:type="page" w:clear="all"/>
      </w:r>
    </w:p>
    <w:p w14:paraId="3B2E7542">
      <w:pPr>
        <w:keepNext/>
        <w:keepLines/>
        <w:widowControl/>
        <w:spacing w:after="120" w:line="360" w:lineRule="auto"/>
        <w:jc w:val="center"/>
        <w:outlineLvl w:val="0"/>
        <w:rPr>
          <w:rFonts w:ascii="宋体" w:hAnsi="宋体"/>
          <w:b/>
          <w:spacing w:val="20"/>
          <w:sz w:val="32"/>
          <w:szCs w:val="32"/>
        </w:rPr>
      </w:pPr>
      <w:bookmarkStart w:id="488" w:name="_Toc14328"/>
      <w:bookmarkStart w:id="489" w:name="_Toc160609059"/>
      <w:bookmarkStart w:id="490" w:name="_Toc15950"/>
      <w:r>
        <w:rPr>
          <w:rFonts w:hint="eastAsia" w:ascii="宋体" w:hAnsi="宋体"/>
          <w:b/>
          <w:spacing w:val="20"/>
          <w:sz w:val="32"/>
          <w:szCs w:val="32"/>
        </w:rPr>
        <w:t>四、中小企业声明函</w:t>
      </w:r>
      <w:r>
        <w:rPr>
          <w:rFonts w:ascii="宋体" w:hAnsi="宋体"/>
          <w:b/>
          <w:spacing w:val="20"/>
          <w:sz w:val="32"/>
          <w:szCs w:val="32"/>
        </w:rPr>
        <w:t>（实质性格式）</w:t>
      </w:r>
      <w:bookmarkEnd w:id="487"/>
      <w:bookmarkEnd w:id="488"/>
      <w:bookmarkEnd w:id="489"/>
      <w:bookmarkEnd w:id="490"/>
    </w:p>
    <w:p w14:paraId="0BA74C07">
      <w:pPr>
        <w:pStyle w:val="3"/>
        <w:tabs>
          <w:tab w:val="center" w:pos="4592"/>
          <w:tab w:val="left" w:pos="7860"/>
        </w:tabs>
        <w:spacing w:before="0" w:line="360" w:lineRule="auto"/>
        <w:jc w:val="left"/>
        <w:rPr>
          <w:rFonts w:ascii="宋体" w:hAnsi="宋体" w:eastAsia="宋体"/>
          <w:sz w:val="32"/>
          <w:szCs w:val="32"/>
        </w:rPr>
      </w:pPr>
      <w:bookmarkStart w:id="491" w:name="_Toc160609060"/>
      <w:bookmarkStart w:id="492" w:name="_Toc2848"/>
      <w:bookmarkStart w:id="493" w:name="_Toc152678682"/>
      <w:bookmarkStart w:id="494" w:name="_Toc23124"/>
      <w:r>
        <w:rPr>
          <w:rFonts w:hint="eastAsia" w:ascii="宋体" w:hAnsi="宋体" w:eastAsia="宋体"/>
          <w:b w:val="0"/>
          <w:sz w:val="24"/>
          <w:u w:val="single"/>
        </w:rPr>
        <w:t>注意事项：请按照第二章第一节《供应商</w:t>
      </w:r>
      <w:r>
        <w:rPr>
          <w:rFonts w:ascii="宋体" w:hAnsi="宋体" w:eastAsia="宋体"/>
          <w:b w:val="0"/>
          <w:sz w:val="24"/>
          <w:u w:val="single"/>
        </w:rPr>
        <w:t>须知资料表</w:t>
      </w:r>
      <w:r>
        <w:rPr>
          <w:rFonts w:hint="eastAsia" w:ascii="宋体" w:hAnsi="宋体" w:eastAsia="宋体"/>
          <w:b w:val="0"/>
          <w:sz w:val="24"/>
          <w:u w:val="single"/>
        </w:rPr>
        <w:t>》中列明的项目属性填写货物类还是工程、服务类。</w:t>
      </w:r>
      <w:bookmarkEnd w:id="491"/>
      <w:bookmarkEnd w:id="492"/>
      <w:bookmarkEnd w:id="493"/>
      <w:bookmarkEnd w:id="494"/>
    </w:p>
    <w:p w14:paraId="5DEC329C">
      <w:pPr>
        <w:widowControl/>
        <w:spacing w:line="360" w:lineRule="auto"/>
        <w:jc w:val="center"/>
        <w:rPr>
          <w:rFonts w:ascii="宋体" w:hAnsi="宋体" w:cs="楷体"/>
          <w:b/>
          <w:sz w:val="32"/>
          <w:szCs w:val="32"/>
        </w:rPr>
      </w:pPr>
      <w:bookmarkStart w:id="495" w:name="_Toc311189788"/>
      <w:r>
        <w:rPr>
          <w:rFonts w:hint="eastAsia" w:ascii="宋体" w:hAnsi="宋体" w:cs="楷体"/>
          <w:b/>
          <w:sz w:val="32"/>
          <w:szCs w:val="32"/>
        </w:rPr>
        <w:t>中小企业声明函(货物)</w:t>
      </w:r>
    </w:p>
    <w:p w14:paraId="5F952732">
      <w:pPr>
        <w:spacing w:line="360" w:lineRule="auto"/>
        <w:ind w:firstLine="480"/>
        <w:rPr>
          <w:rFonts w:ascii="宋体" w:hAnsi="宋体" w:cs="楷体"/>
          <w:sz w:val="24"/>
        </w:rPr>
      </w:pPr>
      <w:r>
        <w:rPr>
          <w:rFonts w:hint="eastAsia" w:ascii="宋体" w:hAnsi="宋体" w:cs="楷体"/>
          <w:sz w:val="24"/>
        </w:rPr>
        <w:t>本公司（联合体）郑重申明,根据《政府采购促进中小企业发展管理办法》（财库【2020】46号）的规定，本公司（联合体）参加（采购单位名称）的（项目名称）采购活动，提供的货物全部由符合政策要求的中小企业制造。相关企业（含联合体中的中小企业、签订分包意向协议的中小企业）的具体情况如下：</w:t>
      </w:r>
    </w:p>
    <w:p w14:paraId="063D75D4">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1、（标的名称），属于（磋商文件中明确的所属行业）；制造商为（企业名称），从业人员人，营业收入为万元，资产总额为万元，属于（中型企业、小型企业、微型企业）。</w:t>
      </w:r>
    </w:p>
    <w:p w14:paraId="36C998F3">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2、（标的名称），属于（磋商文件中明确的所属行业）；制造商为（企业名称），从业人员人，营业收入为万元，资产总额为万元，属于（中型企业、小型企业、微型企业）。</w:t>
      </w:r>
    </w:p>
    <w:p w14:paraId="77A89F64">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w:t>
      </w:r>
    </w:p>
    <w:p w14:paraId="1A583C07">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14:paraId="5914C122">
      <w:pPr>
        <w:spacing w:line="360" w:lineRule="auto"/>
        <w:ind w:firstLine="480"/>
        <w:rPr>
          <w:rFonts w:ascii="宋体" w:hAnsi="宋体" w:cs="楷体"/>
          <w:sz w:val="24"/>
        </w:rPr>
      </w:pPr>
      <w:r>
        <w:rPr>
          <w:rFonts w:hint="eastAsia" w:ascii="宋体" w:hAnsi="宋体" w:cs="楷体"/>
          <w:sz w:val="24"/>
        </w:rPr>
        <w:t>本企业对上述声明内容的真实性负责。如有虚假，将依法承担相应责任。</w:t>
      </w:r>
    </w:p>
    <w:p w14:paraId="283F1898">
      <w:pPr>
        <w:spacing w:line="360" w:lineRule="auto"/>
        <w:ind w:firstLine="4800"/>
        <w:rPr>
          <w:rFonts w:ascii="宋体" w:hAnsi="宋体" w:cs="楷体"/>
          <w:sz w:val="24"/>
        </w:rPr>
      </w:pPr>
    </w:p>
    <w:p w14:paraId="53AD97FC">
      <w:pPr>
        <w:spacing w:line="360" w:lineRule="auto"/>
        <w:ind w:firstLine="4080"/>
        <w:rPr>
          <w:rFonts w:ascii="宋体" w:hAnsi="宋体"/>
          <w:bCs/>
          <w:sz w:val="24"/>
        </w:rPr>
      </w:pPr>
      <w:bookmarkStart w:id="496" w:name="_Hlk149920075"/>
      <w:r>
        <w:rPr>
          <w:rFonts w:hint="eastAsia" w:ascii="宋体" w:hAnsi="宋体"/>
          <w:bCs/>
          <w:sz w:val="24"/>
        </w:rPr>
        <w:t>供应商名称：</w:t>
      </w:r>
      <w:r>
        <w:rPr>
          <w:rFonts w:hint="eastAsia" w:ascii="宋体" w:hAnsi="宋体" w:cs="楷体"/>
          <w:sz w:val="24"/>
        </w:rPr>
        <w:t>（加盖CA电子公章）</w:t>
      </w:r>
      <w:bookmarkEnd w:id="496"/>
    </w:p>
    <w:p w14:paraId="3FE76144">
      <w:pPr>
        <w:spacing w:line="360" w:lineRule="auto"/>
        <w:ind w:firstLine="4800"/>
        <w:rPr>
          <w:rFonts w:ascii="宋体" w:hAnsi="宋体" w:cs="楷体"/>
          <w:sz w:val="24"/>
        </w:rPr>
      </w:pPr>
      <w:r>
        <w:rPr>
          <w:rFonts w:hint="eastAsia" w:ascii="宋体" w:hAnsi="宋体" w:cs="楷体"/>
          <w:sz w:val="24"/>
        </w:rPr>
        <w:t>日期：年 月 日</w:t>
      </w:r>
    </w:p>
    <w:p w14:paraId="7ABB98B9">
      <w:pPr>
        <w:pStyle w:val="17"/>
        <w:spacing w:line="360" w:lineRule="auto"/>
        <w:rPr>
          <w:rFonts w:cs="楷体"/>
          <w:szCs w:val="20"/>
        </w:rPr>
      </w:pPr>
      <w:r>
        <w:rPr>
          <w:rFonts w:hint="eastAsia" w:cs="楷体"/>
        </w:rPr>
        <w:t>注：1、从业人员、营业收入和资产总额填报上一年度数据，无上一年度数据的新成立企业可不填报。</w:t>
      </w:r>
    </w:p>
    <w:p w14:paraId="5BF4B278">
      <w:pPr>
        <w:pStyle w:val="411"/>
        <w:spacing w:line="360" w:lineRule="auto"/>
        <w:ind w:firstLine="480"/>
        <w:rPr>
          <w:rFonts w:ascii="宋体" w:hAnsi="宋体" w:eastAsia="宋体" w:cs="楷体"/>
          <w:sz w:val="24"/>
          <w:szCs w:val="24"/>
        </w:rPr>
      </w:pPr>
      <w:r>
        <w:rPr>
          <w:rFonts w:hint="eastAsia" w:ascii="宋体" w:hAnsi="宋体" w:eastAsia="宋体" w:cs="楷体"/>
          <w:sz w:val="24"/>
          <w:szCs w:val="24"/>
        </w:rPr>
        <w:t>2、中小企业划型标准规定参考《工信部联企业[2011]300号》</w:t>
      </w:r>
    </w:p>
    <w:p w14:paraId="5D7AF8A6">
      <w:pPr>
        <w:widowControl/>
        <w:jc w:val="left"/>
        <w:rPr>
          <w:rFonts w:ascii="宋体" w:hAnsi="宋体" w:cs="楷体"/>
          <w:b/>
          <w:sz w:val="32"/>
          <w:szCs w:val="32"/>
        </w:rPr>
      </w:pPr>
      <w:r>
        <w:rPr>
          <w:rFonts w:ascii="宋体" w:hAnsi="宋体" w:cs="楷体"/>
          <w:b/>
          <w:sz w:val="32"/>
          <w:szCs w:val="32"/>
        </w:rPr>
        <w:br w:type="page" w:clear="all"/>
      </w:r>
    </w:p>
    <w:p w14:paraId="7A4B700F">
      <w:pPr>
        <w:widowControl/>
        <w:spacing w:line="360" w:lineRule="auto"/>
        <w:ind w:firstLine="1928"/>
        <w:rPr>
          <w:rFonts w:ascii="宋体" w:hAnsi="宋体" w:cs="楷体"/>
          <w:b/>
          <w:sz w:val="32"/>
          <w:szCs w:val="32"/>
        </w:rPr>
      </w:pPr>
      <w:r>
        <w:rPr>
          <w:rFonts w:hint="eastAsia" w:ascii="宋体" w:hAnsi="宋体" w:cs="楷体"/>
          <w:b/>
          <w:sz w:val="32"/>
          <w:szCs w:val="32"/>
        </w:rPr>
        <w:t>中小企业声明函(工程、服务)</w:t>
      </w:r>
    </w:p>
    <w:p w14:paraId="4EF3FAD5">
      <w:pPr>
        <w:spacing w:line="360" w:lineRule="auto"/>
        <w:ind w:firstLine="480"/>
        <w:rPr>
          <w:rFonts w:ascii="宋体" w:hAnsi="宋体" w:cs="楷体"/>
          <w:sz w:val="24"/>
        </w:rPr>
      </w:pPr>
      <w:r>
        <w:rPr>
          <w:rFonts w:hint="eastAsia" w:ascii="宋体" w:hAnsi="宋体" w:cs="楷体"/>
          <w:sz w:val="24"/>
        </w:rPr>
        <w:t>本公司（联合体）郑重申明,根据《政府采购促进中小企业发展管理办法》（财库【2020】46号）的规定，本公司（联合体）参加（采购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0EBB63F">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1、（标的名称），属于（磋商文件中明确的所属行业），承接企业为 （企业名称），从业人员人，营业收入为万元，资产总额为万元，属于（中型企业、小型企业、微型企业）。</w:t>
      </w:r>
    </w:p>
    <w:p w14:paraId="6644C85C">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2、（标的名称），属于（磋商文件中明确的所属行业），承接企业为 （企业名称），从业人员人，营业收入为万元，资产总额为万元，属于（中型企业、小型企业、微型企业）。</w:t>
      </w:r>
    </w:p>
    <w:p w14:paraId="3C3098A0">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w:t>
      </w:r>
    </w:p>
    <w:p w14:paraId="028FCFC3">
      <w:pPr>
        <w:pStyle w:val="411"/>
        <w:spacing w:before="0" w:after="0" w:line="360" w:lineRule="auto"/>
        <w:ind w:firstLine="480"/>
        <w:rPr>
          <w:rFonts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14:paraId="519DDFD7">
      <w:pPr>
        <w:spacing w:line="360" w:lineRule="auto"/>
        <w:ind w:firstLine="480"/>
        <w:rPr>
          <w:rFonts w:ascii="宋体" w:hAnsi="宋体" w:cs="楷体"/>
          <w:sz w:val="24"/>
        </w:rPr>
      </w:pPr>
      <w:r>
        <w:rPr>
          <w:rFonts w:hint="eastAsia" w:ascii="宋体" w:hAnsi="宋体" w:cs="楷体"/>
          <w:sz w:val="24"/>
        </w:rPr>
        <w:t>本企业对上述声明内容的真实性负责。如有虚假，将依法承担相应责任。</w:t>
      </w:r>
    </w:p>
    <w:p w14:paraId="16076A62">
      <w:pPr>
        <w:spacing w:line="360" w:lineRule="auto"/>
        <w:ind w:firstLine="4800"/>
        <w:rPr>
          <w:rFonts w:ascii="宋体" w:hAnsi="宋体" w:cs="楷体"/>
          <w:sz w:val="24"/>
        </w:rPr>
      </w:pPr>
    </w:p>
    <w:p w14:paraId="774B6990">
      <w:pPr>
        <w:spacing w:line="360" w:lineRule="auto"/>
        <w:ind w:firstLine="4080"/>
        <w:rPr>
          <w:rFonts w:ascii="宋体" w:hAnsi="宋体"/>
          <w:bCs/>
          <w:sz w:val="24"/>
        </w:rPr>
      </w:pPr>
      <w:r>
        <w:rPr>
          <w:rFonts w:hint="eastAsia" w:ascii="宋体" w:hAnsi="宋体"/>
          <w:bCs/>
          <w:sz w:val="24"/>
        </w:rPr>
        <w:t>供应商名称：</w:t>
      </w:r>
      <w:r>
        <w:rPr>
          <w:rFonts w:hint="eastAsia" w:ascii="宋体" w:hAnsi="宋体" w:cs="楷体"/>
          <w:sz w:val="24"/>
        </w:rPr>
        <w:t xml:space="preserve">（加盖CA电子公章） </w:t>
      </w:r>
    </w:p>
    <w:p w14:paraId="31BDFE34">
      <w:pPr>
        <w:spacing w:line="360" w:lineRule="auto"/>
        <w:ind w:firstLine="4800"/>
        <w:rPr>
          <w:rFonts w:ascii="宋体" w:hAnsi="宋体" w:cs="楷体"/>
          <w:sz w:val="24"/>
        </w:rPr>
      </w:pPr>
      <w:r>
        <w:rPr>
          <w:rFonts w:hint="eastAsia" w:ascii="宋体" w:hAnsi="宋体" w:cs="楷体"/>
          <w:sz w:val="24"/>
        </w:rPr>
        <w:t>日期： 年  月  日</w:t>
      </w:r>
    </w:p>
    <w:p w14:paraId="073CB13C">
      <w:pPr>
        <w:pStyle w:val="411"/>
        <w:spacing w:line="360" w:lineRule="auto"/>
        <w:ind w:firstLine="400"/>
        <w:rPr>
          <w:rFonts w:ascii="宋体" w:hAnsi="宋体" w:eastAsia="宋体"/>
        </w:rPr>
      </w:pPr>
    </w:p>
    <w:p w14:paraId="01824C74">
      <w:pPr>
        <w:pStyle w:val="17"/>
        <w:spacing w:line="360" w:lineRule="auto"/>
        <w:rPr>
          <w:rFonts w:cs="楷体"/>
        </w:rPr>
      </w:pPr>
      <w:r>
        <w:rPr>
          <w:rFonts w:hint="eastAsia" w:cs="楷体"/>
        </w:rPr>
        <w:t>注：1、从业人员、营业收入和资产总额填报上一年度数据，无上一年度数据的新成立企业可不填报。</w:t>
      </w:r>
    </w:p>
    <w:p w14:paraId="44E92EC0">
      <w:pPr>
        <w:pStyle w:val="411"/>
        <w:spacing w:line="360" w:lineRule="auto"/>
        <w:ind w:firstLine="480"/>
        <w:rPr>
          <w:rFonts w:ascii="宋体" w:hAnsi="宋体" w:eastAsia="宋体" w:cs="楷体"/>
          <w:sz w:val="24"/>
          <w:szCs w:val="24"/>
        </w:rPr>
      </w:pPr>
      <w:r>
        <w:rPr>
          <w:rFonts w:hint="eastAsia" w:ascii="宋体" w:hAnsi="宋体" w:eastAsia="宋体" w:cs="楷体"/>
          <w:sz w:val="24"/>
          <w:szCs w:val="24"/>
        </w:rPr>
        <w:t>2、中小企业划型标准规定参考《工信部联企业[2011]300号》</w:t>
      </w:r>
    </w:p>
    <w:p w14:paraId="22A7AEED">
      <w:pPr>
        <w:keepNext/>
        <w:keepLines/>
        <w:widowControl/>
        <w:spacing w:after="120" w:line="360" w:lineRule="auto"/>
        <w:jc w:val="center"/>
        <w:outlineLvl w:val="0"/>
        <w:rPr>
          <w:rFonts w:ascii="宋体" w:hAnsi="宋体"/>
          <w:b/>
          <w:sz w:val="32"/>
          <w:szCs w:val="32"/>
        </w:rPr>
      </w:pPr>
      <w:r>
        <w:rPr>
          <w:rFonts w:ascii="宋体" w:hAnsi="宋体" w:cs="楷体"/>
          <w:sz w:val="24"/>
        </w:rPr>
        <w:br w:type="page" w:clear="all"/>
      </w:r>
      <w:bookmarkStart w:id="497" w:name="_Toc27763"/>
      <w:bookmarkStart w:id="498" w:name="_Toc21819"/>
      <w:bookmarkStart w:id="499" w:name="_Toc160609061"/>
      <w:bookmarkStart w:id="500" w:name="_Toc152678683"/>
      <w:r>
        <w:rPr>
          <w:rFonts w:hint="eastAsia" w:ascii="宋体" w:hAnsi="宋体"/>
          <w:b/>
          <w:spacing w:val="20"/>
          <w:sz w:val="32"/>
          <w:szCs w:val="32"/>
        </w:rPr>
        <w:t>五、残疾人福利性单位声明函</w:t>
      </w:r>
      <w:r>
        <w:rPr>
          <w:rFonts w:ascii="宋体" w:hAnsi="宋体"/>
          <w:b/>
          <w:spacing w:val="20"/>
          <w:sz w:val="32"/>
          <w:szCs w:val="32"/>
        </w:rPr>
        <w:t>（实质性格式）</w:t>
      </w:r>
      <w:bookmarkEnd w:id="497"/>
      <w:bookmarkEnd w:id="498"/>
      <w:bookmarkEnd w:id="499"/>
      <w:bookmarkEnd w:id="500"/>
    </w:p>
    <w:p w14:paraId="4E9F2D02">
      <w:pPr>
        <w:spacing w:line="360" w:lineRule="auto"/>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7E648958">
      <w:pPr>
        <w:spacing w:line="360" w:lineRule="auto"/>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3687F2B1">
      <w:pPr>
        <w:spacing w:line="360" w:lineRule="auto"/>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88D81AC">
      <w:pPr>
        <w:spacing w:line="360" w:lineRule="auto"/>
        <w:ind w:firstLine="506"/>
        <w:rPr>
          <w:rFonts w:ascii="宋体" w:hAnsi="宋体"/>
          <w:spacing w:val="6"/>
          <w:sz w:val="24"/>
        </w:rPr>
      </w:pPr>
      <w:r>
        <w:rPr>
          <w:rFonts w:ascii="宋体" w:hAnsi="宋体"/>
          <w:b/>
          <w:spacing w:val="6"/>
          <w:sz w:val="24"/>
        </w:rPr>
        <w:t>本单位对上述声明的真实性负责。如有虚假，将依法承担相应责任。</w:t>
      </w:r>
    </w:p>
    <w:p w14:paraId="4B89A2A7">
      <w:pPr>
        <w:spacing w:line="360" w:lineRule="auto"/>
        <w:ind w:firstLine="504"/>
        <w:rPr>
          <w:rFonts w:ascii="宋体" w:hAnsi="宋体"/>
          <w:spacing w:val="6"/>
          <w:sz w:val="24"/>
        </w:rPr>
      </w:pPr>
    </w:p>
    <w:p w14:paraId="1DF26A15">
      <w:pPr>
        <w:spacing w:line="360" w:lineRule="auto"/>
        <w:ind w:firstLine="504"/>
        <w:rPr>
          <w:rFonts w:ascii="宋体" w:hAnsi="宋体"/>
          <w:spacing w:val="6"/>
          <w:sz w:val="24"/>
        </w:rPr>
      </w:pPr>
    </w:p>
    <w:p w14:paraId="306ADD64">
      <w:pPr>
        <w:spacing w:line="360" w:lineRule="auto"/>
        <w:ind w:firstLine="4320"/>
        <w:rPr>
          <w:rFonts w:ascii="宋体" w:hAnsi="宋体"/>
          <w:bCs/>
          <w:sz w:val="24"/>
        </w:rPr>
      </w:pPr>
      <w:r>
        <w:rPr>
          <w:rFonts w:hint="eastAsia" w:ascii="宋体" w:hAnsi="宋体"/>
          <w:bCs/>
          <w:sz w:val="24"/>
        </w:rPr>
        <w:t>供应商名称：</w:t>
      </w:r>
      <w:r>
        <w:rPr>
          <w:rFonts w:hint="eastAsia" w:ascii="宋体" w:hAnsi="宋体" w:cs="楷体"/>
          <w:sz w:val="24"/>
        </w:rPr>
        <w:t xml:space="preserve">（加盖CA电子公章） </w:t>
      </w:r>
    </w:p>
    <w:p w14:paraId="5081498D">
      <w:pPr>
        <w:tabs>
          <w:tab w:val="left" w:pos="4860"/>
        </w:tabs>
        <w:spacing w:line="360" w:lineRule="auto"/>
        <w:ind w:right="1560" w:firstLine="504"/>
        <w:jc w:val="center"/>
        <w:rPr>
          <w:rFonts w:ascii="宋体" w:hAnsi="宋体"/>
          <w:spacing w:val="6"/>
          <w:sz w:val="24"/>
        </w:rPr>
        <w:sectPr>
          <w:pgSz w:w="11905" w:h="16838"/>
          <w:pgMar w:top="1440" w:right="1803" w:bottom="1440" w:left="1803" w:header="851" w:footer="992" w:gutter="0"/>
          <w:cols w:space="0" w:num="1"/>
          <w:rtlGutter w:val="0"/>
          <w:docGrid w:type="lines" w:linePitch="319" w:charSpace="0"/>
        </w:sectPr>
      </w:pPr>
      <w:r>
        <w:rPr>
          <w:rFonts w:ascii="宋体" w:hAnsi="宋体"/>
          <w:spacing w:val="6"/>
          <w:sz w:val="24"/>
        </w:rPr>
        <w:t xml:space="preserve">                                      日  期</w:t>
      </w:r>
      <w:r>
        <w:rPr>
          <w:rFonts w:hint="eastAsia" w:ascii="宋体" w:hAnsi="宋体"/>
          <w:spacing w:val="6"/>
          <w:sz w:val="24"/>
        </w:rPr>
        <w:t>:</w:t>
      </w:r>
    </w:p>
    <w:bookmarkEnd w:id="495"/>
    <w:p w14:paraId="78049F71">
      <w:pPr>
        <w:keepNext/>
        <w:keepLines/>
        <w:widowControl/>
        <w:spacing w:after="120" w:line="360" w:lineRule="auto"/>
        <w:jc w:val="center"/>
        <w:outlineLvl w:val="0"/>
        <w:rPr>
          <w:rFonts w:ascii="宋体" w:hAnsi="宋体"/>
          <w:b/>
          <w:spacing w:val="20"/>
          <w:sz w:val="32"/>
          <w:szCs w:val="32"/>
        </w:rPr>
      </w:pPr>
      <w:bookmarkStart w:id="501" w:name="_Toc160609062"/>
      <w:bookmarkStart w:id="502" w:name="_Toc152678684"/>
      <w:bookmarkStart w:id="503" w:name="_Toc5026"/>
      <w:bookmarkStart w:id="504" w:name="_Toc32047"/>
      <w:r>
        <w:rPr>
          <w:rFonts w:hint="eastAsia" w:ascii="宋体" w:hAnsi="宋体"/>
          <w:b/>
          <w:spacing w:val="20"/>
          <w:sz w:val="32"/>
          <w:szCs w:val="32"/>
        </w:rPr>
        <w:t>六、项目实施方案</w:t>
      </w:r>
      <w:bookmarkEnd w:id="501"/>
      <w:bookmarkEnd w:id="502"/>
      <w:bookmarkEnd w:id="503"/>
      <w:bookmarkEnd w:id="504"/>
    </w:p>
    <w:p w14:paraId="35C5E70F">
      <w:pPr>
        <w:pStyle w:val="17"/>
        <w:spacing w:line="360" w:lineRule="auto"/>
        <w:rPr>
          <w:sz w:val="20"/>
          <w:szCs w:val="20"/>
        </w:rPr>
      </w:pPr>
    </w:p>
    <w:p w14:paraId="0FFF65B6">
      <w:pPr>
        <w:spacing w:line="360" w:lineRule="auto"/>
        <w:ind w:firstLine="480"/>
        <w:rPr>
          <w:rFonts w:ascii="宋体" w:hAnsi="宋体" w:cs="宋体"/>
          <w:sz w:val="24"/>
        </w:rPr>
      </w:pPr>
      <w:r>
        <w:rPr>
          <w:rFonts w:hint="eastAsia" w:ascii="宋体" w:hAnsi="宋体" w:cs="宋体"/>
          <w:sz w:val="24"/>
        </w:rPr>
        <w:t>磋商文件中提出的需求是最基本的服务要求，各供应商须响应这些要求，并可以在此基础上，根据自身优势进一步优化。本方案可包括（但不限于）以下内容：</w:t>
      </w:r>
    </w:p>
    <w:p w14:paraId="4D37F572">
      <w:pPr>
        <w:numPr>
          <w:ilvl w:val="1"/>
          <w:numId w:val="11"/>
        </w:numPr>
        <w:spacing w:line="360" w:lineRule="auto"/>
        <w:rPr>
          <w:rFonts w:ascii="宋体" w:hAnsi="宋体" w:cs="宋体"/>
          <w:sz w:val="24"/>
        </w:rPr>
      </w:pPr>
      <w:r>
        <w:rPr>
          <w:rFonts w:hint="eastAsia" w:ascii="宋体" w:hAnsi="宋体"/>
          <w:sz w:val="24"/>
        </w:rPr>
        <w:t>详细实施方案</w:t>
      </w:r>
    </w:p>
    <w:p w14:paraId="6574EFBA">
      <w:pPr>
        <w:numPr>
          <w:ilvl w:val="1"/>
          <w:numId w:val="11"/>
        </w:numPr>
        <w:spacing w:line="360" w:lineRule="auto"/>
        <w:rPr>
          <w:rFonts w:ascii="宋体" w:hAnsi="宋体" w:cs="宋体"/>
          <w:sz w:val="24"/>
        </w:rPr>
      </w:pPr>
      <w:r>
        <w:rPr>
          <w:rFonts w:hint="eastAsia" w:ascii="宋体" w:hAnsi="宋体" w:cs="宋体"/>
          <w:sz w:val="24"/>
        </w:rPr>
        <w:t>供应商应就人员配备、技术保证、项目质量、</w:t>
      </w:r>
      <w:r>
        <w:rPr>
          <w:rFonts w:hint="eastAsia" w:ascii="宋体" w:hAnsi="宋体"/>
          <w:sz w:val="24"/>
        </w:rPr>
        <w:t>服务期限</w:t>
      </w:r>
      <w:r>
        <w:rPr>
          <w:rFonts w:hint="eastAsia" w:ascii="宋体" w:hAnsi="宋体" w:cs="宋体"/>
          <w:sz w:val="24"/>
        </w:rPr>
        <w:t>等做出承诺</w:t>
      </w:r>
    </w:p>
    <w:p w14:paraId="23212BA0">
      <w:pPr>
        <w:numPr>
          <w:ilvl w:val="1"/>
          <w:numId w:val="11"/>
        </w:numPr>
        <w:spacing w:line="360" w:lineRule="auto"/>
        <w:rPr>
          <w:rFonts w:ascii="宋体" w:hAnsi="宋体" w:cs="宋体"/>
          <w:sz w:val="24"/>
        </w:rPr>
      </w:pPr>
      <w:r>
        <w:rPr>
          <w:rFonts w:hint="eastAsia" w:ascii="宋体" w:hAnsi="宋体" w:cs="宋体"/>
          <w:bCs/>
          <w:sz w:val="24"/>
        </w:rPr>
        <w:t>对原始资料的调查与收集</w:t>
      </w:r>
    </w:p>
    <w:p w14:paraId="6322AE43">
      <w:pPr>
        <w:numPr>
          <w:ilvl w:val="1"/>
          <w:numId w:val="11"/>
        </w:numPr>
        <w:spacing w:line="360" w:lineRule="auto"/>
        <w:rPr>
          <w:rFonts w:ascii="宋体" w:hAnsi="宋体" w:cs="宋体"/>
          <w:sz w:val="24"/>
        </w:rPr>
      </w:pPr>
      <w:r>
        <w:rPr>
          <w:rFonts w:hint="eastAsia" w:ascii="宋体" w:hAnsi="宋体" w:cs="宋体"/>
          <w:sz w:val="24"/>
        </w:rPr>
        <w:t>合理化建议（并提出相应可行的解决办法）</w:t>
      </w:r>
    </w:p>
    <w:p w14:paraId="3B5F4E11">
      <w:pPr>
        <w:numPr>
          <w:ilvl w:val="1"/>
          <w:numId w:val="11"/>
        </w:numPr>
        <w:spacing w:line="360" w:lineRule="auto"/>
        <w:rPr>
          <w:rFonts w:ascii="宋体" w:hAnsi="宋体" w:cs="宋体"/>
          <w:sz w:val="24"/>
        </w:rPr>
      </w:pPr>
      <w:r>
        <w:rPr>
          <w:rFonts w:hint="eastAsia" w:ascii="宋体" w:hAnsi="宋体" w:cs="宋体"/>
          <w:sz w:val="24"/>
        </w:rPr>
        <w:t>需要招标人协助的事项</w:t>
      </w:r>
    </w:p>
    <w:p w14:paraId="44A9D9AC">
      <w:pPr>
        <w:numPr>
          <w:ilvl w:val="1"/>
          <w:numId w:val="11"/>
        </w:numPr>
        <w:spacing w:line="360" w:lineRule="auto"/>
        <w:rPr>
          <w:rFonts w:ascii="宋体" w:hAnsi="宋体" w:cs="宋体"/>
          <w:sz w:val="24"/>
        </w:rPr>
      </w:pPr>
      <w:r>
        <w:rPr>
          <w:rFonts w:hint="eastAsia" w:ascii="宋体" w:hAnsi="宋体" w:cs="宋体"/>
          <w:sz w:val="24"/>
        </w:rPr>
        <w:t>供应商认为需要添加的内容</w:t>
      </w:r>
    </w:p>
    <w:p w14:paraId="4783A542">
      <w:pPr>
        <w:spacing w:line="360" w:lineRule="auto"/>
        <w:ind w:firstLine="480"/>
        <w:rPr>
          <w:rFonts w:ascii="宋体" w:hAnsi="宋体"/>
          <w:sz w:val="24"/>
        </w:rPr>
      </w:pPr>
    </w:p>
    <w:p w14:paraId="19012517">
      <w:pPr>
        <w:spacing w:line="360" w:lineRule="auto"/>
        <w:ind w:firstLine="480"/>
        <w:rPr>
          <w:rFonts w:ascii="宋体" w:hAnsi="宋体"/>
          <w:sz w:val="24"/>
        </w:rPr>
      </w:pPr>
    </w:p>
    <w:p w14:paraId="0E7147F0">
      <w:pPr>
        <w:keepNext/>
        <w:keepLines/>
        <w:widowControl/>
        <w:spacing w:after="120" w:line="360" w:lineRule="auto"/>
        <w:jc w:val="center"/>
        <w:outlineLvl w:val="0"/>
        <w:rPr>
          <w:rFonts w:ascii="宋体" w:hAnsi="宋体"/>
          <w:b/>
          <w:spacing w:val="20"/>
          <w:sz w:val="32"/>
          <w:szCs w:val="32"/>
        </w:rPr>
      </w:pPr>
      <w:r>
        <w:rPr>
          <w:rFonts w:ascii="宋体" w:hAnsi="宋体"/>
          <w:sz w:val="24"/>
        </w:rPr>
        <w:br w:type="page" w:clear="all"/>
      </w:r>
      <w:bookmarkStart w:id="505" w:name="_Toc160609063"/>
      <w:bookmarkStart w:id="506" w:name="_Toc152678685"/>
      <w:bookmarkStart w:id="507" w:name="_Toc18594"/>
      <w:bookmarkStart w:id="508" w:name="_Toc3065"/>
      <w:r>
        <w:rPr>
          <w:rFonts w:hint="eastAsia" w:ascii="宋体" w:hAnsi="宋体"/>
          <w:b/>
          <w:spacing w:val="20"/>
          <w:sz w:val="32"/>
          <w:szCs w:val="32"/>
        </w:rPr>
        <w:t>七、基本服务承诺书</w:t>
      </w:r>
      <w:bookmarkEnd w:id="505"/>
      <w:bookmarkEnd w:id="506"/>
      <w:bookmarkEnd w:id="507"/>
      <w:bookmarkEnd w:id="508"/>
    </w:p>
    <w:p w14:paraId="060B1B21">
      <w:pPr>
        <w:spacing w:line="360" w:lineRule="auto"/>
        <w:rPr>
          <w:rFonts w:ascii="宋体" w:hAnsi="宋体"/>
          <w:b/>
          <w:bCs/>
          <w:sz w:val="28"/>
          <w:szCs w:val="28"/>
        </w:rPr>
      </w:pPr>
    </w:p>
    <w:p w14:paraId="581B09C2">
      <w:pPr>
        <w:numPr>
          <w:ilvl w:val="0"/>
          <w:numId w:val="12"/>
        </w:numPr>
        <w:spacing w:line="360" w:lineRule="auto"/>
        <w:ind w:firstLine="480"/>
        <w:rPr>
          <w:rFonts w:ascii="宋体" w:hAnsi="宋体"/>
          <w:sz w:val="20"/>
          <w:szCs w:val="20"/>
        </w:rPr>
      </w:pPr>
      <w:r>
        <w:rPr>
          <w:rFonts w:hint="eastAsia" w:ascii="宋体" w:hAnsi="宋体"/>
          <w:bCs/>
          <w:sz w:val="24"/>
        </w:rPr>
        <w:t>我单位确保按中标结果确定价格并及时提供货物或服务。</w:t>
      </w:r>
    </w:p>
    <w:p w14:paraId="576E2CB9">
      <w:pPr>
        <w:spacing w:line="360" w:lineRule="auto"/>
        <w:ind w:firstLine="480"/>
        <w:jc w:val="left"/>
        <w:rPr>
          <w:rFonts w:ascii="宋体" w:hAnsi="宋体"/>
          <w:bCs/>
          <w:sz w:val="24"/>
          <w:u w:val="single"/>
        </w:rPr>
      </w:pPr>
      <w:r>
        <w:rPr>
          <w:rFonts w:hint="eastAsia" w:ascii="宋体" w:hAnsi="宋体"/>
          <w:bCs/>
          <w:sz w:val="24"/>
        </w:rPr>
        <w:t>二、承诺的基本服务：（质保期、交货日期、是否响应付款方式等）</w:t>
      </w:r>
    </w:p>
    <w:p w14:paraId="5092ADF1">
      <w:pPr>
        <w:spacing w:line="360" w:lineRule="auto"/>
        <w:jc w:val="left"/>
        <w:rPr>
          <w:rFonts w:ascii="宋体" w:hAnsi="宋体"/>
          <w:bCs/>
          <w:sz w:val="24"/>
          <w:u w:val="single"/>
        </w:rPr>
      </w:pPr>
      <w:r>
        <w:rPr>
          <w:rFonts w:hint="eastAsia" w:ascii="宋体" w:hAnsi="宋体"/>
          <w:bCs/>
          <w:sz w:val="24"/>
          <w:u w:val="single"/>
        </w:rPr>
        <w:t>　　　　　　　　　　　　　　　　　　　　　　　　　　　　　　　　　　　　　　</w:t>
      </w:r>
    </w:p>
    <w:p w14:paraId="240F491A">
      <w:pPr>
        <w:spacing w:line="360" w:lineRule="auto"/>
        <w:jc w:val="left"/>
        <w:rPr>
          <w:rFonts w:ascii="宋体" w:hAnsi="宋体"/>
          <w:bCs/>
          <w:sz w:val="24"/>
          <w:u w:val="single"/>
        </w:rPr>
      </w:pPr>
      <w:r>
        <w:rPr>
          <w:rFonts w:hint="eastAsia" w:ascii="宋体" w:hAnsi="宋体"/>
          <w:bCs/>
          <w:sz w:val="24"/>
          <w:u w:val="single"/>
        </w:rPr>
        <w:t>　　　　　　　　　　　　　　　　　　　　　　　　　　　　　　　　　　　　　　</w:t>
      </w:r>
    </w:p>
    <w:p w14:paraId="4F013B5E">
      <w:pPr>
        <w:spacing w:line="360" w:lineRule="auto"/>
        <w:jc w:val="left"/>
        <w:rPr>
          <w:rFonts w:ascii="宋体" w:hAnsi="宋体"/>
          <w:bCs/>
          <w:sz w:val="24"/>
          <w:u w:val="single"/>
        </w:rPr>
      </w:pPr>
      <w:r>
        <w:rPr>
          <w:rFonts w:hint="eastAsia" w:ascii="宋体" w:hAnsi="宋体"/>
          <w:bCs/>
          <w:sz w:val="24"/>
          <w:u w:val="single"/>
        </w:rPr>
        <w:t>　　　　　　　　　　　　　　　　　　　　　　　　　　　　　　　　　　　　　　</w:t>
      </w:r>
    </w:p>
    <w:p w14:paraId="69621EFC">
      <w:pPr>
        <w:spacing w:line="360" w:lineRule="auto"/>
        <w:jc w:val="left"/>
        <w:rPr>
          <w:rFonts w:ascii="宋体" w:hAnsi="宋体"/>
          <w:bCs/>
          <w:sz w:val="24"/>
          <w:u w:val="single"/>
        </w:rPr>
      </w:pPr>
      <w:r>
        <w:rPr>
          <w:rFonts w:hint="eastAsia" w:ascii="宋体" w:hAnsi="宋体"/>
          <w:bCs/>
          <w:sz w:val="24"/>
          <w:u w:val="single"/>
        </w:rPr>
        <w:t>　　　　　　　　　　　　　　　　　　　　　　　　　　　　　　　　　　　　　　</w:t>
      </w:r>
    </w:p>
    <w:p w14:paraId="044BE2C5">
      <w:pPr>
        <w:spacing w:line="360" w:lineRule="auto"/>
        <w:ind w:firstLine="480"/>
        <w:jc w:val="left"/>
        <w:rPr>
          <w:rFonts w:ascii="宋体" w:hAnsi="宋体"/>
          <w:bCs/>
          <w:sz w:val="24"/>
        </w:rPr>
      </w:pPr>
      <w:r>
        <w:rPr>
          <w:rFonts w:hint="eastAsia" w:ascii="宋体" w:hAnsi="宋体"/>
          <w:bCs/>
          <w:sz w:val="24"/>
        </w:rPr>
        <w:t>三、需要采购人提供的配合：</w:t>
      </w:r>
    </w:p>
    <w:p w14:paraId="118267E5">
      <w:pPr>
        <w:spacing w:line="360" w:lineRule="auto"/>
        <w:jc w:val="left"/>
        <w:rPr>
          <w:rFonts w:ascii="宋体" w:hAnsi="宋体"/>
          <w:bCs/>
          <w:sz w:val="24"/>
          <w:u w:val="single"/>
        </w:rPr>
      </w:pPr>
      <w:r>
        <w:rPr>
          <w:rFonts w:hint="eastAsia" w:ascii="宋体" w:hAnsi="宋体"/>
          <w:bCs/>
          <w:sz w:val="24"/>
          <w:u w:val="single"/>
        </w:rPr>
        <w:t>　　　　　　　　　　　　　　　　　　　　　　　　　　　　　　　　　　　　　　</w:t>
      </w:r>
    </w:p>
    <w:p w14:paraId="39972F7A">
      <w:pPr>
        <w:spacing w:line="360" w:lineRule="auto"/>
        <w:jc w:val="left"/>
        <w:rPr>
          <w:rFonts w:ascii="宋体" w:hAnsi="宋体"/>
          <w:bCs/>
          <w:sz w:val="24"/>
          <w:u w:val="single"/>
        </w:rPr>
      </w:pPr>
      <w:r>
        <w:rPr>
          <w:rFonts w:hint="eastAsia" w:ascii="宋体" w:hAnsi="宋体"/>
          <w:bCs/>
          <w:sz w:val="24"/>
          <w:u w:val="single"/>
        </w:rPr>
        <w:t>　　　　　　　　　　　　　　　　　　　　　　　　　　　　　　　　　　　　　　</w:t>
      </w:r>
    </w:p>
    <w:p w14:paraId="0E810BEE">
      <w:pPr>
        <w:spacing w:line="360" w:lineRule="auto"/>
        <w:jc w:val="left"/>
        <w:rPr>
          <w:rFonts w:ascii="宋体" w:hAnsi="宋体"/>
          <w:bCs/>
          <w:sz w:val="24"/>
          <w:u w:val="single"/>
        </w:rPr>
      </w:pPr>
      <w:r>
        <w:rPr>
          <w:rFonts w:hint="eastAsia" w:ascii="宋体" w:hAnsi="宋体"/>
          <w:bCs/>
          <w:sz w:val="24"/>
          <w:u w:val="single"/>
        </w:rPr>
        <w:t>　　　　　　　　　　　　　　　　　　　　　　　　　　　　　　　　　　　　　　</w:t>
      </w:r>
    </w:p>
    <w:p w14:paraId="5C7AABC4">
      <w:pPr>
        <w:spacing w:line="360" w:lineRule="auto"/>
        <w:jc w:val="left"/>
        <w:rPr>
          <w:rFonts w:ascii="宋体" w:hAnsi="宋体"/>
          <w:bCs/>
          <w:sz w:val="24"/>
          <w:u w:val="single"/>
        </w:rPr>
      </w:pPr>
      <w:r>
        <w:rPr>
          <w:rFonts w:hint="eastAsia" w:ascii="宋体" w:hAnsi="宋体"/>
          <w:bCs/>
          <w:sz w:val="24"/>
          <w:u w:val="single"/>
        </w:rPr>
        <w:t>　　　　　　　　　　　　　　　　　　　　　　　　　　　　　　　　　　　　　　</w:t>
      </w:r>
    </w:p>
    <w:p w14:paraId="17E0A67B">
      <w:pPr>
        <w:spacing w:line="360" w:lineRule="auto"/>
        <w:ind w:firstLine="480"/>
        <w:jc w:val="left"/>
        <w:rPr>
          <w:rFonts w:ascii="宋体" w:hAnsi="宋体"/>
          <w:bCs/>
          <w:sz w:val="24"/>
        </w:rPr>
      </w:pPr>
      <w:r>
        <w:rPr>
          <w:rFonts w:hint="eastAsia" w:ascii="宋体" w:hAnsi="宋体"/>
          <w:bCs/>
          <w:sz w:val="24"/>
        </w:rPr>
        <w:t>四、其他服务承诺：</w:t>
      </w:r>
    </w:p>
    <w:p w14:paraId="3AC3E8E8">
      <w:pPr>
        <w:spacing w:line="360" w:lineRule="auto"/>
        <w:jc w:val="left"/>
        <w:rPr>
          <w:rFonts w:ascii="宋体" w:hAnsi="宋体"/>
          <w:bCs/>
          <w:sz w:val="24"/>
          <w:u w:val="single"/>
        </w:rPr>
      </w:pPr>
      <w:r>
        <w:rPr>
          <w:rFonts w:hint="eastAsia" w:ascii="宋体" w:hAnsi="宋体"/>
          <w:bCs/>
          <w:sz w:val="24"/>
          <w:u w:val="single"/>
        </w:rPr>
        <w:t>　　　　　　　　　　　　　　　　　　　　　　　　　　　　　　　　　　　　　　</w:t>
      </w:r>
    </w:p>
    <w:p w14:paraId="6892E00E">
      <w:pPr>
        <w:spacing w:line="360" w:lineRule="auto"/>
        <w:jc w:val="left"/>
        <w:rPr>
          <w:rFonts w:ascii="宋体" w:hAnsi="宋体"/>
          <w:bCs/>
          <w:sz w:val="24"/>
          <w:u w:val="single"/>
        </w:rPr>
      </w:pPr>
      <w:r>
        <w:rPr>
          <w:rFonts w:hint="eastAsia" w:ascii="宋体" w:hAnsi="宋体"/>
          <w:bCs/>
          <w:sz w:val="24"/>
          <w:u w:val="single"/>
        </w:rPr>
        <w:t>　　　　　　　　　　　　　　　　　　　　　　　　　　　　　　　　　　　　　　</w:t>
      </w:r>
    </w:p>
    <w:p w14:paraId="6A88E2EF">
      <w:pPr>
        <w:spacing w:line="360" w:lineRule="auto"/>
        <w:jc w:val="left"/>
        <w:rPr>
          <w:rFonts w:ascii="宋体" w:hAnsi="宋体"/>
          <w:bCs/>
          <w:sz w:val="24"/>
          <w:u w:val="single"/>
        </w:rPr>
      </w:pPr>
      <w:r>
        <w:rPr>
          <w:rFonts w:hint="eastAsia" w:ascii="宋体" w:hAnsi="宋体"/>
          <w:bCs/>
          <w:sz w:val="24"/>
          <w:u w:val="single"/>
        </w:rPr>
        <w:t>　　　　　　　　　　　　　　　　　　　　　　　　　　　　　　　　　　　　　　</w:t>
      </w:r>
    </w:p>
    <w:p w14:paraId="0043D356">
      <w:pPr>
        <w:spacing w:line="360" w:lineRule="auto"/>
        <w:jc w:val="left"/>
        <w:rPr>
          <w:rFonts w:ascii="宋体" w:hAnsi="宋体"/>
          <w:bCs/>
          <w:sz w:val="24"/>
          <w:u w:val="single"/>
        </w:rPr>
      </w:pPr>
      <w:r>
        <w:rPr>
          <w:rFonts w:hint="eastAsia" w:ascii="宋体" w:hAnsi="宋体"/>
          <w:bCs/>
          <w:sz w:val="24"/>
          <w:u w:val="single"/>
        </w:rPr>
        <w:t>　　　　　　　　　　　　　　　　　　　　　　　　　　　　　　　　　　　　　　</w:t>
      </w:r>
    </w:p>
    <w:p w14:paraId="09D53688">
      <w:pPr>
        <w:spacing w:line="360" w:lineRule="auto"/>
        <w:ind w:firstLine="600"/>
        <w:rPr>
          <w:rFonts w:ascii="宋体" w:hAnsi="宋体"/>
          <w:bCs/>
          <w:sz w:val="24"/>
        </w:rPr>
      </w:pPr>
    </w:p>
    <w:p w14:paraId="3B00B70B">
      <w:pPr>
        <w:spacing w:line="360" w:lineRule="auto"/>
        <w:ind w:firstLine="600"/>
        <w:rPr>
          <w:rFonts w:ascii="宋体" w:hAnsi="宋体"/>
          <w:bCs/>
          <w:sz w:val="24"/>
        </w:rPr>
      </w:pPr>
    </w:p>
    <w:p w14:paraId="50DCE7A4">
      <w:pPr>
        <w:spacing w:line="360" w:lineRule="auto"/>
        <w:ind w:firstLine="4080"/>
        <w:rPr>
          <w:rFonts w:ascii="宋体" w:hAnsi="宋体"/>
          <w:bCs/>
          <w:sz w:val="24"/>
        </w:rPr>
      </w:pPr>
      <w:r>
        <w:rPr>
          <w:rFonts w:hint="eastAsia" w:ascii="宋体" w:hAnsi="宋体"/>
          <w:bCs/>
          <w:sz w:val="24"/>
        </w:rPr>
        <w:t>供应商名称：</w:t>
      </w:r>
      <w:r>
        <w:rPr>
          <w:rFonts w:hint="eastAsia" w:ascii="宋体" w:hAnsi="宋体" w:cs="楷体"/>
          <w:sz w:val="24"/>
        </w:rPr>
        <w:t xml:space="preserve">（加盖CA电子公章） </w:t>
      </w:r>
    </w:p>
    <w:p w14:paraId="56107217">
      <w:pPr>
        <w:spacing w:line="360" w:lineRule="auto"/>
        <w:ind w:firstLine="5520"/>
        <w:rPr>
          <w:rFonts w:ascii="宋体" w:hAnsi="宋体"/>
          <w:bCs/>
          <w:sz w:val="24"/>
        </w:rPr>
      </w:pPr>
    </w:p>
    <w:p w14:paraId="628BA2D0">
      <w:pPr>
        <w:spacing w:line="360" w:lineRule="auto"/>
        <w:jc w:val="center"/>
        <w:rPr>
          <w:rFonts w:ascii="宋体" w:hAnsi="宋体"/>
          <w:sz w:val="24"/>
        </w:rPr>
      </w:pPr>
      <w:r>
        <w:rPr>
          <w:rFonts w:hint="eastAsia" w:ascii="宋体" w:hAnsi="宋体"/>
          <w:sz w:val="24"/>
        </w:rPr>
        <w:t xml:space="preserve">   日期：     年    月    日</w:t>
      </w:r>
    </w:p>
    <w:p w14:paraId="2D139E8B">
      <w:pPr>
        <w:keepNext/>
        <w:keepLines/>
        <w:widowControl/>
        <w:spacing w:after="120" w:line="360" w:lineRule="auto"/>
        <w:jc w:val="center"/>
        <w:outlineLvl w:val="0"/>
        <w:rPr>
          <w:rFonts w:ascii="宋体" w:hAnsi="宋体"/>
          <w:b/>
          <w:spacing w:val="20"/>
          <w:sz w:val="30"/>
          <w:szCs w:val="30"/>
        </w:rPr>
      </w:pPr>
      <w:r>
        <w:rPr>
          <w:rFonts w:ascii="宋体" w:hAnsi="宋体"/>
          <w:sz w:val="24"/>
        </w:rPr>
        <w:br w:type="page" w:clear="all"/>
      </w:r>
      <w:bookmarkStart w:id="509" w:name="_Toc152678686"/>
      <w:bookmarkStart w:id="510" w:name="_Toc13441"/>
      <w:bookmarkStart w:id="511" w:name="_Toc160609064"/>
      <w:bookmarkStart w:id="512" w:name="_Toc11073"/>
      <w:r>
        <w:rPr>
          <w:rFonts w:hint="eastAsia" w:ascii="宋体" w:hAnsi="宋体"/>
          <w:b/>
          <w:spacing w:val="20"/>
          <w:sz w:val="32"/>
          <w:szCs w:val="32"/>
        </w:rPr>
        <w:t>八、法人授权书（实质性格式）</w:t>
      </w:r>
      <w:bookmarkEnd w:id="509"/>
      <w:bookmarkEnd w:id="510"/>
      <w:bookmarkEnd w:id="511"/>
      <w:bookmarkEnd w:id="512"/>
    </w:p>
    <w:p w14:paraId="09404BD6">
      <w:pPr>
        <w:tabs>
          <w:tab w:val="left" w:pos="360"/>
        </w:tabs>
        <w:spacing w:line="360" w:lineRule="auto"/>
        <w:ind w:firstLine="480"/>
        <w:rPr>
          <w:rFonts w:ascii="宋体" w:hAnsi="宋体"/>
          <w:sz w:val="24"/>
        </w:rPr>
      </w:pPr>
      <w:r>
        <w:rPr>
          <w:rFonts w:hint="eastAsia" w:ascii="宋体" w:hAnsi="宋体"/>
          <w:sz w:val="24"/>
        </w:rPr>
        <w:t>本授权书声明：</w:t>
      </w:r>
      <w:r>
        <w:rPr>
          <w:rFonts w:ascii="宋体" w:hAnsi="宋体"/>
          <w:sz w:val="24"/>
        </w:rPr>
        <w:t>____________</w:t>
      </w:r>
      <w:r>
        <w:rPr>
          <w:rFonts w:hint="eastAsia" w:ascii="宋体" w:hAnsi="宋体"/>
          <w:sz w:val="24"/>
        </w:rPr>
        <w:t>（供应商名称）授权</w:t>
      </w:r>
      <w:r>
        <w:rPr>
          <w:rFonts w:ascii="宋体" w:hAnsi="宋体"/>
          <w:sz w:val="24"/>
        </w:rPr>
        <w:t>________________</w:t>
      </w:r>
      <w:r>
        <w:rPr>
          <w:rFonts w:hint="eastAsia" w:ascii="宋体" w:hAnsi="宋体"/>
          <w:sz w:val="24"/>
        </w:rPr>
        <w:t>（被授权人的姓名）为我方就</w:t>
      </w:r>
      <w:bookmarkStart w:id="513" w:name="_Hlk152668024"/>
      <w:r>
        <w:rPr>
          <w:rFonts w:hint="eastAsia" w:ascii="宋体" w:hAnsi="宋体"/>
          <w:sz w:val="24"/>
        </w:rPr>
        <w:t>（项目名称，项目编号/包号）</w:t>
      </w:r>
      <w:bookmarkEnd w:id="513"/>
      <w:r>
        <w:rPr>
          <w:rFonts w:hint="eastAsia" w:ascii="宋体" w:hAnsi="宋体"/>
          <w:sz w:val="24"/>
        </w:rPr>
        <w:t>采购活动的合法代理人，以本单位名义全权处理一切与该项目采购有关的事务。</w:t>
      </w:r>
    </w:p>
    <w:p w14:paraId="32979774">
      <w:pPr>
        <w:tabs>
          <w:tab w:val="left" w:pos="360"/>
        </w:tabs>
        <w:spacing w:line="360" w:lineRule="auto"/>
        <w:ind w:firstLine="480"/>
        <w:rPr>
          <w:rFonts w:ascii="宋体" w:hAnsi="宋体"/>
          <w:sz w:val="24"/>
        </w:rPr>
      </w:pPr>
      <w:r>
        <w:rPr>
          <w:rFonts w:hint="eastAsia" w:ascii="宋体" w:hAnsi="宋体"/>
          <w:sz w:val="24"/>
        </w:rPr>
        <w:t>本授权书于</w:t>
      </w:r>
      <w:r>
        <w:rPr>
          <w:rFonts w:ascii="宋体" w:hAnsi="宋体"/>
          <w:sz w:val="24"/>
        </w:rPr>
        <w:t>______</w:t>
      </w:r>
      <w:r>
        <w:rPr>
          <w:rFonts w:hint="eastAsia" w:ascii="宋体" w:hAnsi="宋体"/>
          <w:sz w:val="24"/>
        </w:rPr>
        <w:t>年</w:t>
      </w:r>
      <w:r>
        <w:rPr>
          <w:rFonts w:ascii="宋体" w:hAnsi="宋体"/>
          <w:sz w:val="24"/>
        </w:rPr>
        <w:t>____</w:t>
      </w:r>
      <w:r>
        <w:rPr>
          <w:rFonts w:hint="eastAsia" w:ascii="宋体" w:hAnsi="宋体"/>
          <w:sz w:val="24"/>
        </w:rPr>
        <w:t>月</w:t>
      </w:r>
      <w:r>
        <w:rPr>
          <w:rFonts w:ascii="宋体" w:hAnsi="宋体"/>
          <w:sz w:val="24"/>
        </w:rPr>
        <w:t>____</w:t>
      </w:r>
      <w:r>
        <w:rPr>
          <w:rFonts w:hint="eastAsia" w:ascii="宋体" w:hAnsi="宋体"/>
          <w:sz w:val="24"/>
        </w:rPr>
        <w:t>日起生效，特此声明。</w:t>
      </w:r>
    </w:p>
    <w:p w14:paraId="2931FCE2">
      <w:pPr>
        <w:tabs>
          <w:tab w:val="left" w:pos="360"/>
        </w:tabs>
        <w:spacing w:line="360" w:lineRule="auto"/>
        <w:ind w:firstLine="480"/>
        <w:rPr>
          <w:rFonts w:ascii="宋体" w:hAnsi="宋体"/>
          <w:sz w:val="24"/>
        </w:rPr>
      </w:pPr>
    </w:p>
    <w:p w14:paraId="19191AE0">
      <w:pPr>
        <w:tabs>
          <w:tab w:val="left" w:pos="360"/>
        </w:tabs>
        <w:spacing w:line="360" w:lineRule="auto"/>
        <w:rPr>
          <w:rFonts w:ascii="宋体" w:hAnsi="宋体"/>
          <w:sz w:val="24"/>
          <w:u w:val="single"/>
        </w:rPr>
      </w:pPr>
      <w:r>
        <w:rPr>
          <w:rFonts w:hint="eastAsia" w:ascii="宋体" w:hAnsi="宋体"/>
          <w:sz w:val="24"/>
        </w:rPr>
        <w:t>被授权人身份证号码：</w:t>
      </w:r>
    </w:p>
    <w:p w14:paraId="66D7A66B">
      <w:pPr>
        <w:tabs>
          <w:tab w:val="left" w:pos="360"/>
        </w:tabs>
        <w:spacing w:line="360" w:lineRule="auto"/>
        <w:ind w:firstLine="480"/>
        <w:rPr>
          <w:rFonts w:ascii="宋体" w:hAnsi="宋体"/>
          <w:sz w:val="24"/>
          <w:u w:val="single"/>
        </w:rPr>
      </w:pPr>
      <w:r>
        <w:rPr>
          <w:rFonts w:hint="eastAsia" w:ascii="宋体" w:hAnsi="宋体"/>
          <w:sz w:val="24"/>
        </w:rPr>
        <w:t>被授权人联系电话：（手机）</w:t>
      </w:r>
    </w:p>
    <w:p w14:paraId="1B1981A4">
      <w:pPr>
        <w:tabs>
          <w:tab w:val="left" w:pos="360"/>
        </w:tabs>
        <w:spacing w:line="360" w:lineRule="auto"/>
        <w:ind w:firstLine="480"/>
        <w:rPr>
          <w:rFonts w:ascii="宋体" w:hAnsi="宋体"/>
          <w:sz w:val="24"/>
          <w:u w:val="single"/>
        </w:rPr>
      </w:pPr>
      <w:r>
        <w:rPr>
          <w:rFonts w:hint="eastAsia" w:ascii="宋体" w:hAnsi="宋体" w:cs="楷体"/>
          <w:sz w:val="24"/>
        </w:rPr>
        <w:t>法定代表人身份证号码：</w:t>
      </w:r>
    </w:p>
    <w:p w14:paraId="709195A2">
      <w:pPr>
        <w:spacing w:line="360" w:lineRule="auto"/>
        <w:ind w:firstLine="480"/>
        <w:jc w:val="left"/>
        <w:rPr>
          <w:rFonts w:ascii="宋体" w:hAnsi="宋体"/>
          <w:sz w:val="20"/>
          <w:szCs w:val="20"/>
        </w:rPr>
      </w:pPr>
      <w:r>
        <w:rPr>
          <w:rFonts w:hint="eastAsia" w:ascii="宋体" w:hAnsi="宋体" w:cs="楷体"/>
          <w:sz w:val="24"/>
        </w:rPr>
        <w:t>法定代表人联系方式（手机）：</w:t>
      </w:r>
    </w:p>
    <w:p w14:paraId="135243A0">
      <w:pPr>
        <w:tabs>
          <w:tab w:val="left" w:pos="360"/>
        </w:tabs>
        <w:spacing w:line="360" w:lineRule="auto"/>
        <w:ind w:firstLine="4080"/>
        <w:rPr>
          <w:rFonts w:ascii="宋体" w:hAnsi="宋体"/>
          <w:sz w:val="24"/>
        </w:rPr>
      </w:pPr>
    </w:p>
    <w:p w14:paraId="6220015F">
      <w:pPr>
        <w:tabs>
          <w:tab w:val="left" w:pos="360"/>
        </w:tabs>
        <w:spacing w:line="360" w:lineRule="auto"/>
        <w:ind w:firstLine="4080"/>
        <w:rPr>
          <w:rFonts w:ascii="宋体" w:hAnsi="宋体"/>
          <w:sz w:val="24"/>
        </w:rPr>
      </w:pPr>
      <w:r>
        <w:rPr>
          <w:rFonts w:hint="eastAsia" w:ascii="宋体" w:hAnsi="宋体"/>
          <w:sz w:val="24"/>
        </w:rPr>
        <w:t>授权单位名称：</w:t>
      </w:r>
      <w:r>
        <w:rPr>
          <w:rFonts w:hint="eastAsia" w:ascii="宋体" w:hAnsi="宋体"/>
          <w:sz w:val="24"/>
          <w:u w:val="single"/>
        </w:rPr>
        <w:t>（加盖</w:t>
      </w:r>
      <w:r>
        <w:rPr>
          <w:rFonts w:ascii="宋体" w:hAnsi="宋体"/>
          <w:sz w:val="24"/>
          <w:u w:val="single"/>
        </w:rPr>
        <w:t>CA</w:t>
      </w:r>
      <w:r>
        <w:rPr>
          <w:rFonts w:hint="eastAsia" w:ascii="宋体" w:hAnsi="宋体"/>
          <w:sz w:val="24"/>
          <w:u w:val="single"/>
        </w:rPr>
        <w:t>电子公章）</w:t>
      </w:r>
    </w:p>
    <w:p w14:paraId="02F32F5B">
      <w:pPr>
        <w:tabs>
          <w:tab w:val="left" w:pos="360"/>
        </w:tabs>
        <w:spacing w:line="360" w:lineRule="auto"/>
        <w:ind w:firstLine="480"/>
        <w:rPr>
          <w:rFonts w:ascii="宋体" w:hAnsi="宋体"/>
          <w:sz w:val="24"/>
          <w:u w:val="single"/>
        </w:rPr>
      </w:pPr>
      <w:r>
        <w:rPr>
          <w:rFonts w:hint="eastAsia" w:ascii="宋体" w:hAnsi="宋体"/>
          <w:sz w:val="24"/>
        </w:rPr>
        <w:t>单位地址：</w:t>
      </w:r>
    </w:p>
    <w:p w14:paraId="6BD66833">
      <w:pPr>
        <w:tabs>
          <w:tab w:val="left" w:pos="360"/>
        </w:tabs>
        <w:spacing w:line="360" w:lineRule="auto"/>
        <w:ind w:firstLine="480"/>
        <w:rPr>
          <w:rFonts w:ascii="宋体" w:hAnsi="宋体"/>
          <w:sz w:val="24"/>
          <w:u w:val="single"/>
        </w:rPr>
      </w:pPr>
      <w:r>
        <w:rPr>
          <w:rFonts w:hint="eastAsia" w:ascii="宋体" w:hAnsi="宋体"/>
          <w:sz w:val="24"/>
        </w:rPr>
        <w:t>日期：</w:t>
      </w:r>
      <w:bookmarkStart w:id="514" w:name="_格式3__银行出具的资信证明"/>
      <w:bookmarkEnd w:id="514"/>
      <w:bookmarkStart w:id="515" w:name="_Hlt26955070"/>
      <w:bookmarkEnd w:id="515"/>
      <w:bookmarkStart w:id="516" w:name="_Hlt26671380"/>
      <w:bookmarkEnd w:id="516"/>
    </w:p>
    <w:p w14:paraId="2CD29081">
      <w:pPr>
        <w:spacing w:line="360" w:lineRule="auto"/>
        <w:ind w:firstLine="480"/>
        <w:rPr>
          <w:rFonts w:ascii="宋体" w:hAnsi="宋体" w:cs="楷体"/>
          <w:sz w:val="24"/>
          <w:u w:val="single"/>
        </w:rPr>
      </w:pPr>
      <w:r>
        <w:rPr>
          <w:rFonts w:hint="eastAsia" w:ascii="宋体" w:hAnsi="宋体" w:cs="楷体"/>
          <w:sz w:val="24"/>
        </w:rPr>
        <w:t>注意事项：</w:t>
      </w:r>
      <w:r>
        <w:rPr>
          <w:rFonts w:hint="eastAsia" w:ascii="宋体" w:hAnsi="宋体" w:cs="楷体"/>
          <w:sz w:val="24"/>
          <w:u w:val="single"/>
        </w:rPr>
        <w:t>需附法定代表人第二代居民身份证复印件（正反面）和被授权人第二代居民身份证复印件（正反面）。</w:t>
      </w:r>
    </w:p>
    <w:p w14:paraId="17FEE030">
      <w:pPr>
        <w:keepNext/>
        <w:keepLines/>
        <w:widowControl/>
        <w:spacing w:after="120" w:line="360" w:lineRule="auto"/>
        <w:jc w:val="center"/>
        <w:outlineLvl w:val="0"/>
        <w:rPr>
          <w:rFonts w:ascii="宋体" w:hAnsi="宋体"/>
          <w:b/>
          <w:spacing w:val="20"/>
          <w:sz w:val="32"/>
          <w:szCs w:val="32"/>
        </w:rPr>
      </w:pPr>
      <w:r>
        <w:rPr>
          <w:rFonts w:ascii="宋体" w:hAnsi="宋体" w:cs="楷体"/>
          <w:sz w:val="24"/>
          <w:u w:val="single"/>
        </w:rPr>
        <w:br w:type="page" w:clear="all"/>
      </w:r>
      <w:bookmarkStart w:id="517" w:name="_Toc28845"/>
      <w:bookmarkStart w:id="518" w:name="_Toc160609065"/>
      <w:bookmarkStart w:id="519" w:name="_Toc152678687"/>
      <w:bookmarkStart w:id="520" w:name="_Toc2996"/>
      <w:r>
        <w:rPr>
          <w:rFonts w:hint="eastAsia" w:ascii="宋体" w:hAnsi="宋体"/>
          <w:b/>
          <w:spacing w:val="20"/>
          <w:sz w:val="32"/>
          <w:szCs w:val="32"/>
        </w:rPr>
        <w:t>九、资格承诺声明函</w:t>
      </w:r>
      <w:r>
        <w:rPr>
          <w:rFonts w:ascii="宋体" w:hAnsi="宋体"/>
          <w:b/>
          <w:spacing w:val="20"/>
          <w:sz w:val="32"/>
          <w:szCs w:val="32"/>
        </w:rPr>
        <w:t>（实质性格式）</w:t>
      </w:r>
      <w:bookmarkEnd w:id="517"/>
      <w:bookmarkEnd w:id="518"/>
      <w:bookmarkEnd w:id="519"/>
      <w:bookmarkEnd w:id="520"/>
    </w:p>
    <w:p w14:paraId="60BA142E">
      <w:pPr>
        <w:spacing w:line="360" w:lineRule="auto"/>
        <w:rPr>
          <w:rFonts w:ascii="宋体" w:hAnsi="宋体" w:cs="楷体"/>
          <w:sz w:val="24"/>
        </w:rPr>
      </w:pPr>
      <w:r>
        <w:rPr>
          <w:rFonts w:hint="eastAsia" w:ascii="宋体" w:hAnsi="宋体" w:cs="楷体"/>
          <w:sz w:val="24"/>
        </w:rPr>
        <w:t>致本项目采购单位及</w:t>
      </w:r>
      <w:r>
        <w:rPr>
          <w:rFonts w:hint="eastAsia" w:ascii="宋体" w:hAnsi="宋体" w:cs="楷体"/>
          <w:sz w:val="24"/>
          <w:lang w:eastAsia="zh-CN"/>
        </w:rPr>
        <w:t>常州市嘉亿工程咨询有限公司</w:t>
      </w:r>
      <w:r>
        <w:rPr>
          <w:rFonts w:hint="eastAsia" w:ascii="宋体" w:hAnsi="宋体" w:cs="楷体"/>
          <w:sz w:val="24"/>
        </w:rPr>
        <w:t>：</w:t>
      </w:r>
    </w:p>
    <w:p w14:paraId="3BA4D54A">
      <w:pPr>
        <w:spacing w:line="360" w:lineRule="auto"/>
        <w:ind w:firstLine="480"/>
        <w:rPr>
          <w:rFonts w:ascii="宋体" w:hAnsi="宋体" w:cs="楷体"/>
          <w:sz w:val="24"/>
        </w:rPr>
      </w:pPr>
      <w:r>
        <w:rPr>
          <w:rFonts w:hint="eastAsia" w:ascii="宋体" w:hAnsi="宋体" w:cs="楷体"/>
          <w:sz w:val="24"/>
        </w:rPr>
        <w:t>按照《中华人民共和国政府采购法》第二十二条及磋商文件的规定，我单位郑重声明如下：</w:t>
      </w:r>
    </w:p>
    <w:p w14:paraId="15DCE3D3">
      <w:pPr>
        <w:spacing w:line="360" w:lineRule="auto"/>
        <w:ind w:firstLine="480"/>
        <w:rPr>
          <w:rFonts w:ascii="宋体" w:hAnsi="宋体" w:cs="楷体"/>
          <w:sz w:val="24"/>
        </w:rPr>
      </w:pPr>
      <w:r>
        <w:rPr>
          <w:rFonts w:hint="eastAsia" w:ascii="宋体" w:hAnsi="宋体" w:cs="楷体"/>
          <w:sz w:val="24"/>
        </w:rPr>
        <w:t>一、我单位全称为，注册地点为，统一社会信用代码为，法定代表人（单位负责人）为。</w:t>
      </w:r>
    </w:p>
    <w:p w14:paraId="03A0ECC6">
      <w:pPr>
        <w:spacing w:line="360" w:lineRule="auto"/>
        <w:ind w:firstLine="480"/>
        <w:rPr>
          <w:rFonts w:ascii="宋体" w:hAnsi="宋体" w:cs="楷体"/>
          <w:sz w:val="24"/>
        </w:rPr>
      </w:pPr>
      <w:r>
        <w:rPr>
          <w:rFonts w:hint="eastAsia" w:ascii="宋体" w:hAnsi="宋体" w:cs="楷体"/>
          <w:sz w:val="24"/>
        </w:rPr>
        <w:t>二、我单位具有独立承担民事责任的能力。</w:t>
      </w:r>
    </w:p>
    <w:p w14:paraId="0D1BDA34">
      <w:pPr>
        <w:spacing w:line="360" w:lineRule="auto"/>
        <w:ind w:firstLine="480"/>
        <w:rPr>
          <w:rFonts w:ascii="宋体" w:hAnsi="宋体" w:cs="楷体"/>
          <w:sz w:val="24"/>
        </w:rPr>
      </w:pPr>
      <w:r>
        <w:rPr>
          <w:rFonts w:hint="eastAsia" w:ascii="宋体" w:hAnsi="宋体" w:cs="楷体"/>
          <w:sz w:val="24"/>
        </w:rPr>
        <w:t>三、我单位具有良好的商业信誉和健全的财务会计制度。</w:t>
      </w:r>
    </w:p>
    <w:p w14:paraId="0BCF1BF5">
      <w:pPr>
        <w:spacing w:line="360" w:lineRule="auto"/>
        <w:ind w:firstLine="480"/>
        <w:rPr>
          <w:rFonts w:ascii="宋体" w:hAnsi="宋体" w:cs="楷体"/>
          <w:sz w:val="24"/>
        </w:rPr>
      </w:pPr>
      <w:r>
        <w:rPr>
          <w:rFonts w:hint="eastAsia" w:ascii="宋体" w:hAnsi="宋体" w:cs="楷体"/>
          <w:sz w:val="24"/>
        </w:rPr>
        <w:t>四、我单位具有履行合同所必需的设备和专业技术能力。</w:t>
      </w:r>
    </w:p>
    <w:p w14:paraId="5557D4F0">
      <w:pPr>
        <w:spacing w:line="360" w:lineRule="auto"/>
        <w:ind w:firstLine="480"/>
        <w:rPr>
          <w:rFonts w:ascii="宋体" w:hAnsi="宋体" w:cs="楷体"/>
          <w:sz w:val="24"/>
        </w:rPr>
      </w:pPr>
      <w:r>
        <w:rPr>
          <w:rFonts w:hint="eastAsia" w:ascii="宋体" w:hAnsi="宋体" w:cs="楷体"/>
          <w:sz w:val="24"/>
        </w:rPr>
        <w:t>五、我单位有依法缴纳税收和社会保障资金的良好记录。</w:t>
      </w:r>
    </w:p>
    <w:p w14:paraId="2FDE7DB4">
      <w:pPr>
        <w:spacing w:line="360" w:lineRule="auto"/>
        <w:ind w:firstLine="480"/>
        <w:rPr>
          <w:rFonts w:ascii="宋体" w:hAnsi="宋体" w:cs="楷体"/>
          <w:sz w:val="24"/>
        </w:rPr>
      </w:pPr>
      <w:r>
        <w:rPr>
          <w:rFonts w:hint="eastAsia" w:ascii="宋体" w:hAnsi="宋体" w:cs="楷体"/>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687BB05E">
      <w:pPr>
        <w:spacing w:line="360" w:lineRule="auto"/>
        <w:ind w:firstLine="480"/>
        <w:rPr>
          <w:rFonts w:ascii="宋体" w:hAnsi="宋体" w:cs="楷体"/>
          <w:sz w:val="24"/>
        </w:rPr>
      </w:pPr>
      <w:r>
        <w:rPr>
          <w:rFonts w:hint="eastAsia" w:ascii="宋体" w:hAnsi="宋体" w:cs="楷体"/>
          <w:sz w:val="24"/>
        </w:rPr>
        <w:t>七、我单位具备法律、行政法规规定的其他条件。</w:t>
      </w:r>
    </w:p>
    <w:p w14:paraId="4A9FDD9D">
      <w:pPr>
        <w:spacing w:line="360" w:lineRule="auto"/>
        <w:ind w:firstLine="480"/>
        <w:rPr>
          <w:rFonts w:ascii="宋体" w:hAnsi="宋体" w:cs="楷体"/>
          <w:sz w:val="24"/>
        </w:rPr>
      </w:pPr>
      <w:r>
        <w:rPr>
          <w:rFonts w:hint="eastAsia" w:ascii="宋体" w:hAnsi="宋体" w:cs="楷体"/>
          <w:sz w:val="24"/>
        </w:rPr>
        <w:t>我单位保证上述声明的事项都是真实的，如有虚假，我单位愿意承担相应的法律责任，并承担因此所造成的一切损失。</w:t>
      </w:r>
    </w:p>
    <w:p w14:paraId="4079BDB8">
      <w:pPr>
        <w:spacing w:line="360" w:lineRule="auto"/>
        <w:ind w:firstLine="480"/>
        <w:rPr>
          <w:rFonts w:ascii="宋体" w:hAnsi="宋体" w:cs="楷体"/>
          <w:sz w:val="24"/>
        </w:rPr>
      </w:pPr>
    </w:p>
    <w:p w14:paraId="36CBBFF9">
      <w:pPr>
        <w:pStyle w:val="17"/>
        <w:spacing w:before="0" w:line="360" w:lineRule="auto"/>
        <w:ind w:firstLine="4080" w:firstLineChars="1700"/>
        <w:rPr>
          <w:rFonts w:cs="楷体"/>
        </w:rPr>
      </w:pPr>
      <w:bookmarkStart w:id="521" w:name="_Hlk149916533"/>
      <w:r>
        <w:rPr>
          <w:rFonts w:hint="eastAsia"/>
          <w:bCs/>
        </w:rPr>
        <w:t>供应商名称：</w:t>
      </w:r>
      <w:r>
        <w:rPr>
          <w:rFonts w:hint="eastAsia" w:cs="楷体"/>
        </w:rPr>
        <w:t>（加盖CA电子公章）</w:t>
      </w:r>
      <w:bookmarkEnd w:id="521"/>
    </w:p>
    <w:p w14:paraId="6EC49B84">
      <w:pPr>
        <w:spacing w:line="360" w:lineRule="auto"/>
        <w:ind w:firstLine="5040"/>
        <w:rPr>
          <w:rFonts w:ascii="宋体" w:hAnsi="宋体" w:cs="楷体"/>
          <w:sz w:val="24"/>
        </w:rPr>
      </w:pPr>
      <w:r>
        <w:rPr>
          <w:rFonts w:hint="eastAsia" w:ascii="宋体" w:hAnsi="宋体" w:cs="楷体"/>
          <w:sz w:val="24"/>
        </w:rPr>
        <w:t>法定代表人（负责人）：</w:t>
      </w:r>
    </w:p>
    <w:p w14:paraId="50531AB1">
      <w:pPr>
        <w:spacing w:line="360" w:lineRule="auto"/>
        <w:ind w:firstLine="480"/>
        <w:jc w:val="center"/>
        <w:rPr>
          <w:rFonts w:ascii="宋体" w:hAnsi="宋体" w:cs="楷体"/>
          <w:sz w:val="24"/>
        </w:rPr>
      </w:pPr>
      <w:r>
        <w:rPr>
          <w:rFonts w:hint="eastAsia" w:ascii="宋体" w:hAnsi="宋体" w:cs="楷体"/>
          <w:sz w:val="24"/>
          <w:lang w:val="en-US" w:eastAsia="zh-CN"/>
        </w:rPr>
        <w:t xml:space="preserve">                   </w:t>
      </w:r>
      <w:r>
        <w:rPr>
          <w:rFonts w:hint="eastAsia" w:ascii="宋体" w:hAnsi="宋体" w:cs="楷体"/>
          <w:sz w:val="24"/>
        </w:rPr>
        <w:t>日期：</w:t>
      </w:r>
      <w:r>
        <w:rPr>
          <w:rFonts w:hint="eastAsia" w:ascii="宋体" w:hAnsi="宋体" w:cs="楷体"/>
          <w:sz w:val="24"/>
          <w:lang w:val="en-US" w:eastAsia="zh-CN"/>
        </w:rPr>
        <w:t xml:space="preserve">   </w:t>
      </w:r>
      <w:r>
        <w:rPr>
          <w:rFonts w:hint="eastAsia" w:ascii="宋体" w:hAnsi="宋体" w:cs="楷体"/>
          <w:sz w:val="24"/>
        </w:rPr>
        <w:t>年</w:t>
      </w:r>
      <w:r>
        <w:rPr>
          <w:rFonts w:hint="eastAsia" w:ascii="宋体" w:hAnsi="宋体" w:cs="楷体"/>
          <w:sz w:val="24"/>
          <w:lang w:val="en-US" w:eastAsia="zh-CN"/>
        </w:rPr>
        <w:t xml:space="preserve">    </w:t>
      </w:r>
      <w:r>
        <w:rPr>
          <w:rFonts w:hint="eastAsia" w:ascii="宋体" w:hAnsi="宋体" w:cs="楷体"/>
          <w:sz w:val="24"/>
        </w:rPr>
        <w:t>月</w:t>
      </w:r>
      <w:r>
        <w:rPr>
          <w:rFonts w:hint="eastAsia" w:ascii="宋体" w:hAnsi="宋体" w:cs="楷体"/>
          <w:sz w:val="24"/>
          <w:lang w:val="en-US" w:eastAsia="zh-CN"/>
        </w:rPr>
        <w:t xml:space="preserve">    </w:t>
      </w:r>
      <w:r>
        <w:rPr>
          <w:rFonts w:hint="eastAsia" w:ascii="宋体" w:hAnsi="宋体" w:cs="楷体"/>
          <w:sz w:val="24"/>
        </w:rPr>
        <w:t>日</w:t>
      </w:r>
    </w:p>
    <w:p w14:paraId="7925BF1E">
      <w:pPr>
        <w:keepNext/>
        <w:keepLines/>
        <w:widowControl/>
        <w:spacing w:after="120" w:line="360" w:lineRule="auto"/>
        <w:jc w:val="center"/>
        <w:outlineLvl w:val="0"/>
        <w:rPr>
          <w:rFonts w:ascii="宋体" w:hAnsi="宋体"/>
          <w:b/>
          <w:spacing w:val="20"/>
          <w:sz w:val="32"/>
          <w:szCs w:val="32"/>
        </w:rPr>
      </w:pPr>
      <w:r>
        <w:rPr>
          <w:rFonts w:ascii="宋体" w:hAnsi="宋体" w:cs="楷体"/>
          <w:sz w:val="24"/>
        </w:rPr>
        <w:br w:type="page" w:clear="all"/>
      </w:r>
      <w:bookmarkStart w:id="522" w:name="_Toc15743"/>
      <w:bookmarkStart w:id="523" w:name="_Toc152678688"/>
      <w:bookmarkStart w:id="524" w:name="_Toc160609066"/>
      <w:bookmarkStart w:id="525" w:name="_Toc27110"/>
      <w:r>
        <w:rPr>
          <w:rFonts w:hint="eastAsia" w:ascii="宋体" w:hAnsi="宋体"/>
          <w:b/>
          <w:spacing w:val="20"/>
          <w:sz w:val="32"/>
          <w:szCs w:val="32"/>
        </w:rPr>
        <w:t>十、政府采购供应商信用承诺书</w:t>
      </w:r>
      <w:r>
        <w:rPr>
          <w:rFonts w:ascii="宋体" w:hAnsi="宋体"/>
          <w:b/>
          <w:spacing w:val="20"/>
          <w:sz w:val="32"/>
          <w:szCs w:val="32"/>
        </w:rPr>
        <w:t>（实质性格式）</w:t>
      </w:r>
      <w:bookmarkEnd w:id="522"/>
      <w:bookmarkEnd w:id="523"/>
      <w:bookmarkEnd w:id="524"/>
      <w:bookmarkEnd w:id="525"/>
    </w:p>
    <w:p w14:paraId="6167DC1A">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为维护公开、公平、公正的政府采购市场秩序，树立诚实守信的供应商形象，本单位在参与政府采购活动中,自愿作出以下承诺：</w:t>
      </w:r>
    </w:p>
    <w:p w14:paraId="2D388DFE">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一、严格遵守国家法律、法规和规章，全面履行应尽的责任和义务，全面做到履约守信，具备《政府采购法》第二十二条第一款规定的条件。</w:t>
      </w:r>
    </w:p>
    <w:p w14:paraId="039A645F">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3BF297FB">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三、本单位提供给注册登记部门、行业管理部门、司法部门、行业组织以及在政府采购活动中提交的所有资料均合法、真实、有效，无任何伪造、修改、虚假成分，并对所提供资料的真实性负责。</w:t>
      </w:r>
    </w:p>
    <w:p w14:paraId="387358B2">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四、严格依法开展生产经营活动，主动接受行业监管，自愿接受依法开展的日常检查；违法失信经营后将自愿接受约束和惩戒，并依法承担相应责任。</w:t>
      </w:r>
    </w:p>
    <w:p w14:paraId="58E8BF01">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 xml:space="preserve">五、承诺本单位自觉接受行政管理部门、行业组织、社会公众、新闻舆论的监督。 </w:t>
      </w:r>
    </w:p>
    <w:p w14:paraId="4400234C">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p>
    <w:p w14:paraId="6D4D10BB">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 xml:space="preserve">七、承诺本单位在信用中国（江苏）网站中无违法违规、较重或严重失信记录。 </w:t>
      </w:r>
    </w:p>
    <w:p w14:paraId="77613E51">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八、承诺本单位提出政府采购质疑和投诉坚持依法依规、诚实信用原则。</w:t>
      </w:r>
    </w:p>
    <w:p w14:paraId="0EAFC758">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 xml:space="preserve">九、根据政府采购相关法律法规的规定需要作出的其他承诺。                                         </w:t>
      </w:r>
    </w:p>
    <w:p w14:paraId="52BD49A6">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十、承诺本单位若违背承诺约定，经查实，愿意接受行业主管部门和信用管理部门相应的规定处罚，承担违约责任，并依法承担相应的法律责任。</w:t>
      </w:r>
    </w:p>
    <w:p w14:paraId="33371D32">
      <w:pPr>
        <w:keepNext w:val="0"/>
        <w:keepLines w:val="0"/>
        <w:pageBreakBefore w:val="0"/>
        <w:widowControl w:val="0"/>
        <w:kinsoku/>
        <w:wordWrap/>
        <w:overflowPunct/>
        <w:topLinePunct w:val="0"/>
        <w:autoSpaceDE/>
        <w:autoSpaceDN/>
        <w:bidi w:val="0"/>
        <w:adjustRightInd/>
        <w:snapToGrid/>
        <w:spacing w:line="336" w:lineRule="auto"/>
        <w:ind w:firstLine="482"/>
        <w:textAlignment w:val="auto"/>
        <w:rPr>
          <w:rFonts w:ascii="宋体" w:hAnsi="宋体" w:cs="楷体"/>
          <w:sz w:val="24"/>
        </w:rPr>
      </w:pPr>
      <w:r>
        <w:rPr>
          <w:rFonts w:hint="eastAsia" w:ascii="宋体" w:hAnsi="宋体" w:cs="楷体"/>
          <w:sz w:val="24"/>
        </w:rPr>
        <w:t>十一、承诺本单位同意将以上承诺事项上网公示，违背承诺约定行为将作为失信信息，记录到常州市公共信用信息系统，并予以公开。</w:t>
      </w:r>
    </w:p>
    <w:p w14:paraId="60049D42">
      <w:pPr>
        <w:pStyle w:val="17"/>
        <w:spacing w:before="0" w:line="360" w:lineRule="auto"/>
        <w:ind w:firstLine="4560"/>
        <w:rPr>
          <w:rFonts w:cs="楷体"/>
        </w:rPr>
      </w:pPr>
      <w:bookmarkStart w:id="526" w:name="_Hlk149916556"/>
      <w:r>
        <w:rPr>
          <w:rFonts w:hint="eastAsia"/>
          <w:bCs/>
        </w:rPr>
        <w:t>供应商名称：</w:t>
      </w:r>
      <w:r>
        <w:rPr>
          <w:rFonts w:hint="eastAsia" w:cs="楷体"/>
        </w:rPr>
        <w:t>（加盖CA电子公章）</w:t>
      </w:r>
      <w:bookmarkEnd w:id="526"/>
    </w:p>
    <w:p w14:paraId="553E8A07">
      <w:pPr>
        <w:spacing w:line="360" w:lineRule="auto"/>
        <w:ind w:firstLine="5040"/>
        <w:rPr>
          <w:rFonts w:ascii="宋体" w:hAnsi="宋体" w:cs="楷体"/>
          <w:sz w:val="24"/>
        </w:rPr>
      </w:pPr>
      <w:r>
        <w:rPr>
          <w:rFonts w:hint="eastAsia" w:ascii="宋体" w:hAnsi="宋体" w:cs="楷体"/>
          <w:sz w:val="24"/>
        </w:rPr>
        <w:t>法定代表人（负责人）：</w:t>
      </w:r>
    </w:p>
    <w:p w14:paraId="683E31A5">
      <w:pPr>
        <w:pStyle w:val="407"/>
        <w:spacing w:line="360" w:lineRule="auto"/>
        <w:ind w:right="0" w:firstLine="5160"/>
        <w:jc w:val="both"/>
        <w:rPr>
          <w:rFonts w:ascii="宋体" w:hAnsi="宋体" w:eastAsia="宋体" w:cs="楷体"/>
          <w:sz w:val="24"/>
          <w:szCs w:val="24"/>
        </w:rPr>
      </w:pPr>
      <w:r>
        <w:rPr>
          <w:rFonts w:hint="eastAsia" w:ascii="宋体" w:hAnsi="宋体" w:eastAsia="宋体" w:cs="楷体"/>
          <w:sz w:val="24"/>
          <w:szCs w:val="24"/>
        </w:rPr>
        <w:t>年   月   日</w:t>
      </w:r>
    </w:p>
    <w:p w14:paraId="100BA5F3">
      <w:pPr>
        <w:keepNext/>
        <w:keepLines/>
        <w:widowControl/>
        <w:spacing w:after="120" w:line="360" w:lineRule="auto"/>
        <w:jc w:val="center"/>
        <w:outlineLvl w:val="0"/>
        <w:rPr>
          <w:rFonts w:ascii="宋体" w:hAnsi="宋体"/>
          <w:b/>
          <w:spacing w:val="20"/>
          <w:sz w:val="32"/>
          <w:szCs w:val="32"/>
        </w:rPr>
      </w:pPr>
      <w:bookmarkStart w:id="527" w:name="_Toc152678689"/>
      <w:bookmarkStart w:id="528" w:name="_Toc24925"/>
      <w:bookmarkStart w:id="529" w:name="_Toc4343"/>
      <w:bookmarkStart w:id="530" w:name="_Toc160609067"/>
      <w:bookmarkStart w:id="531" w:name="_Hlk149916764"/>
      <w:r>
        <w:rPr>
          <w:rFonts w:hint="eastAsia" w:ascii="宋体" w:hAnsi="宋体"/>
          <w:b/>
          <w:spacing w:val="20"/>
          <w:sz w:val="32"/>
          <w:szCs w:val="32"/>
        </w:rPr>
        <w:t>十一、</w:t>
      </w:r>
      <w:r>
        <w:rPr>
          <w:rFonts w:ascii="宋体" w:hAnsi="宋体"/>
          <w:b/>
          <w:spacing w:val="20"/>
          <w:sz w:val="32"/>
          <w:szCs w:val="32"/>
        </w:rPr>
        <w:t>联合体</w:t>
      </w:r>
      <w:r>
        <w:rPr>
          <w:rFonts w:hint="eastAsia" w:ascii="宋体" w:hAnsi="宋体"/>
          <w:b/>
          <w:spacing w:val="20"/>
          <w:sz w:val="32"/>
          <w:szCs w:val="32"/>
        </w:rPr>
        <w:t>协议</w:t>
      </w:r>
      <w:r>
        <w:rPr>
          <w:rFonts w:ascii="宋体" w:hAnsi="宋体"/>
          <w:b/>
          <w:spacing w:val="20"/>
          <w:sz w:val="32"/>
          <w:szCs w:val="32"/>
        </w:rPr>
        <w:t>（实质性格式</w:t>
      </w:r>
      <w:r>
        <w:rPr>
          <w:rFonts w:hint="eastAsia" w:ascii="宋体" w:hAnsi="宋体"/>
          <w:b/>
          <w:spacing w:val="20"/>
          <w:sz w:val="32"/>
          <w:szCs w:val="32"/>
        </w:rPr>
        <w:t>，如有</w:t>
      </w:r>
      <w:r>
        <w:rPr>
          <w:rFonts w:ascii="宋体" w:hAnsi="宋体"/>
          <w:b/>
          <w:spacing w:val="20"/>
          <w:sz w:val="32"/>
          <w:szCs w:val="32"/>
        </w:rPr>
        <w:t>）</w:t>
      </w:r>
      <w:bookmarkEnd w:id="527"/>
      <w:bookmarkEnd w:id="528"/>
      <w:bookmarkEnd w:id="529"/>
      <w:bookmarkEnd w:id="530"/>
    </w:p>
    <w:p w14:paraId="66A1A747">
      <w:pPr>
        <w:spacing w:line="360" w:lineRule="auto"/>
        <w:rPr>
          <w:rFonts w:ascii="宋体" w:hAnsi="宋体"/>
          <w:sz w:val="24"/>
          <w:szCs w:val="21"/>
        </w:rPr>
      </w:pPr>
      <w:bookmarkStart w:id="532" w:name="_Hlk149920213"/>
      <w:r>
        <w:rPr>
          <w:rFonts w:hint="eastAsia" w:ascii="宋体" w:hAnsi="宋体"/>
          <w:sz w:val="24"/>
          <w:szCs w:val="21"/>
        </w:rPr>
        <w:t>（联合体中各供应商全称）在此达成以下协议：</w:t>
      </w:r>
    </w:p>
    <w:p w14:paraId="6F4AF195">
      <w:pPr>
        <w:spacing w:line="360" w:lineRule="auto"/>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w:t>
      </w:r>
      <w:r>
        <w:rPr>
          <w:rFonts w:hint="eastAsia" w:ascii="宋体" w:hAnsi="宋体"/>
          <w:sz w:val="24"/>
          <w:szCs w:val="21"/>
          <w:lang w:eastAsia="zh-CN"/>
        </w:rPr>
        <w:t>常州市嘉亿工程咨询有限公司</w:t>
      </w:r>
      <w:r>
        <w:rPr>
          <w:rFonts w:hint="eastAsia" w:ascii="宋体" w:hAnsi="宋体"/>
          <w:sz w:val="24"/>
          <w:szCs w:val="21"/>
        </w:rPr>
        <w:t>组织的采购编号为</w:t>
      </w:r>
      <w:r>
        <w:rPr>
          <w:rFonts w:hint="eastAsia" w:ascii="宋体" w:hAnsi="宋体"/>
          <w:sz w:val="24"/>
          <w:szCs w:val="21"/>
          <w:u w:val="single"/>
        </w:rPr>
        <w:t>（编号全称），（项目全称）</w:t>
      </w:r>
      <w:r>
        <w:rPr>
          <w:rFonts w:hint="eastAsia" w:ascii="宋体" w:hAnsi="宋体"/>
          <w:sz w:val="24"/>
          <w:szCs w:val="21"/>
        </w:rPr>
        <w:t>项目 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1AAF66BB">
      <w:pPr>
        <w:spacing w:line="360" w:lineRule="auto"/>
        <w:ind w:firstLine="645"/>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0FE4A684">
      <w:pPr>
        <w:spacing w:line="360" w:lineRule="auto"/>
        <w:ind w:firstLine="645"/>
        <w:rPr>
          <w:rFonts w:ascii="宋体" w:hAnsi="宋体"/>
          <w:sz w:val="24"/>
          <w:szCs w:val="21"/>
        </w:rPr>
      </w:pPr>
      <w:r>
        <w:rPr>
          <w:rFonts w:ascii="宋体" w:hAnsi="宋体"/>
          <w:sz w:val="24"/>
          <w:szCs w:val="21"/>
        </w:rPr>
        <w:t>3</w:t>
      </w:r>
      <w:r>
        <w:rPr>
          <w:rFonts w:hint="eastAsia" w:ascii="宋体" w:hAnsi="宋体"/>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w:t>
      </w:r>
    </w:p>
    <w:p w14:paraId="1F67271B">
      <w:pPr>
        <w:spacing w:line="360" w:lineRule="auto"/>
        <w:ind w:firstLine="645"/>
        <w:rPr>
          <w:rFonts w:ascii="宋体" w:hAnsi="宋体"/>
          <w:sz w:val="24"/>
          <w:szCs w:val="21"/>
        </w:rPr>
      </w:pPr>
    </w:p>
    <w:p w14:paraId="241FE3C5">
      <w:pPr>
        <w:spacing w:line="360" w:lineRule="auto"/>
        <w:ind w:firstLine="645"/>
        <w:rPr>
          <w:rFonts w:ascii="宋体" w:hAnsi="宋体"/>
          <w:sz w:val="24"/>
          <w:szCs w:val="21"/>
        </w:rPr>
      </w:pPr>
      <w:r>
        <w:rPr>
          <w:rFonts w:hint="eastAsia" w:ascii="宋体" w:hAnsi="宋体"/>
          <w:sz w:val="24"/>
          <w:szCs w:val="21"/>
        </w:rPr>
        <w:t>备注：本磋商文件中要求加盖CA电子签章的地方，仅需加盖牵头单位的CA电子签章。</w:t>
      </w:r>
    </w:p>
    <w:p w14:paraId="0D4922B4">
      <w:pPr>
        <w:spacing w:line="360" w:lineRule="auto"/>
        <w:ind w:firstLine="645"/>
        <w:rPr>
          <w:rFonts w:ascii="宋体" w:hAnsi="宋体"/>
          <w:sz w:val="24"/>
          <w:szCs w:val="21"/>
        </w:rPr>
      </w:pPr>
    </w:p>
    <w:p w14:paraId="48CF894D">
      <w:pPr>
        <w:spacing w:line="360" w:lineRule="auto"/>
        <w:ind w:right="1440"/>
        <w:rPr>
          <w:rFonts w:ascii="宋体" w:hAnsi="宋体"/>
          <w:sz w:val="24"/>
          <w:szCs w:val="21"/>
        </w:rPr>
      </w:pPr>
      <w:r>
        <w:rPr>
          <w:rFonts w:hint="eastAsia" w:ascii="宋体" w:hAnsi="宋体"/>
          <w:sz w:val="24"/>
          <w:szCs w:val="21"/>
        </w:rPr>
        <w:t>联合体中各供应商全称</w:t>
      </w:r>
      <w:r>
        <w:rPr>
          <w:rFonts w:hint="eastAsia" w:ascii="宋体" w:hAnsi="宋体" w:cs="黑体"/>
          <w:bCs/>
          <w:sz w:val="24"/>
        </w:rPr>
        <w:t>（加盖CA电子公章）</w:t>
      </w:r>
      <w:r>
        <w:rPr>
          <w:rFonts w:hint="eastAsia" w:ascii="宋体" w:hAnsi="宋体"/>
          <w:sz w:val="24"/>
          <w:szCs w:val="21"/>
        </w:rPr>
        <w:t>：</w:t>
      </w:r>
    </w:p>
    <w:p w14:paraId="3CEBB459">
      <w:pPr>
        <w:spacing w:line="360" w:lineRule="auto"/>
        <w:ind w:right="1440"/>
        <w:rPr>
          <w:rFonts w:ascii="宋体" w:hAnsi="宋体"/>
          <w:sz w:val="24"/>
          <w:szCs w:val="21"/>
        </w:rPr>
      </w:pPr>
      <w:r>
        <w:rPr>
          <w:rFonts w:hint="eastAsia" w:ascii="宋体" w:hAnsi="宋体"/>
          <w:sz w:val="24"/>
          <w:szCs w:val="21"/>
        </w:rPr>
        <w:t>日期：</w:t>
      </w:r>
    </w:p>
    <w:p w14:paraId="769886CA">
      <w:pPr>
        <w:keepNext/>
        <w:keepLines/>
        <w:widowControl/>
        <w:spacing w:after="120" w:line="360" w:lineRule="auto"/>
        <w:jc w:val="center"/>
        <w:outlineLvl w:val="0"/>
        <w:rPr>
          <w:rFonts w:ascii="宋体" w:hAnsi="宋体"/>
          <w:b/>
          <w:spacing w:val="20"/>
          <w:sz w:val="32"/>
          <w:szCs w:val="32"/>
        </w:rPr>
      </w:pPr>
      <w:r>
        <w:rPr>
          <w:rFonts w:ascii="宋体" w:hAnsi="宋体"/>
          <w:sz w:val="24"/>
          <w:szCs w:val="21"/>
        </w:rPr>
        <w:br w:type="page" w:clear="all"/>
      </w:r>
      <w:bookmarkEnd w:id="531"/>
      <w:bookmarkEnd w:id="532"/>
      <w:bookmarkStart w:id="533" w:name="_Toc152678690"/>
      <w:bookmarkStart w:id="534" w:name="_Toc160609068"/>
      <w:bookmarkStart w:id="535" w:name="_Toc21191"/>
      <w:bookmarkStart w:id="536" w:name="_Toc28410"/>
      <w:r>
        <w:rPr>
          <w:rFonts w:hint="eastAsia" w:ascii="宋体" w:hAnsi="宋体"/>
          <w:b/>
          <w:spacing w:val="20"/>
          <w:sz w:val="32"/>
          <w:szCs w:val="32"/>
        </w:rPr>
        <w:t>十二、响应函</w:t>
      </w:r>
      <w:r>
        <w:rPr>
          <w:rFonts w:ascii="宋体" w:hAnsi="宋体"/>
          <w:b/>
          <w:spacing w:val="20"/>
          <w:sz w:val="32"/>
          <w:szCs w:val="32"/>
        </w:rPr>
        <w:t>（实质性格式）</w:t>
      </w:r>
      <w:bookmarkEnd w:id="533"/>
      <w:bookmarkEnd w:id="534"/>
      <w:bookmarkEnd w:id="535"/>
      <w:bookmarkEnd w:id="536"/>
    </w:p>
    <w:p w14:paraId="00003AEB">
      <w:pPr>
        <w:widowControl/>
        <w:spacing w:line="360" w:lineRule="auto"/>
        <w:jc w:val="left"/>
        <w:rPr>
          <w:rFonts w:ascii="宋体" w:hAnsi="宋体"/>
          <w:sz w:val="24"/>
        </w:rPr>
      </w:pPr>
      <w:bookmarkStart w:id="537" w:name="_Hlk149916598"/>
      <w:r>
        <w:rPr>
          <w:rFonts w:hint="eastAsia" w:ascii="宋体" w:hAnsi="宋体"/>
          <w:sz w:val="24"/>
        </w:rPr>
        <w:t>致：</w:t>
      </w:r>
      <w:r>
        <w:rPr>
          <w:rFonts w:hint="eastAsia" w:ascii="宋体" w:hAnsi="宋体"/>
          <w:sz w:val="24"/>
          <w:lang w:eastAsia="zh-CN"/>
        </w:rPr>
        <w:t>常州市嘉亿工程咨询有限公司</w:t>
      </w:r>
      <w:r>
        <w:rPr>
          <w:rFonts w:hint="eastAsia" w:ascii="宋体" w:hAnsi="宋体"/>
          <w:sz w:val="24"/>
        </w:rPr>
        <w:t>：</w:t>
      </w:r>
    </w:p>
    <w:p w14:paraId="134CFFBB">
      <w:pPr>
        <w:spacing w:line="360" w:lineRule="auto"/>
        <w:ind w:firstLine="480"/>
        <w:jc w:val="left"/>
        <w:rPr>
          <w:rFonts w:ascii="宋体" w:hAnsi="宋体"/>
          <w:sz w:val="24"/>
          <w:szCs w:val="21"/>
        </w:rPr>
      </w:pPr>
      <w:r>
        <w:rPr>
          <w:rFonts w:hint="eastAsia" w:ascii="宋体" w:hAnsi="宋体"/>
          <w:sz w:val="24"/>
          <w:szCs w:val="21"/>
        </w:rPr>
        <w:t>根据贵方的</w:t>
      </w:r>
      <w:bookmarkStart w:id="538" w:name="_Hlk152668086"/>
      <w:r>
        <w:rPr>
          <w:rFonts w:hint="eastAsia" w:ascii="宋体" w:hAnsi="宋体"/>
          <w:sz w:val="24"/>
        </w:rPr>
        <w:t>（项目名称，项目编号/包号）</w:t>
      </w:r>
      <w:bookmarkEnd w:id="538"/>
      <w:r>
        <w:rPr>
          <w:rFonts w:hint="eastAsia" w:ascii="宋体" w:hAnsi="宋体"/>
          <w:sz w:val="24"/>
          <w:szCs w:val="21"/>
        </w:rPr>
        <w:t>磋商文件，正式授权下述签字人______(姓名)代表我方______________（供应商的名称），全权处理本次项目磋商的有关事宜。</w:t>
      </w:r>
    </w:p>
    <w:p w14:paraId="375EAA29">
      <w:pPr>
        <w:spacing w:line="360" w:lineRule="auto"/>
        <w:ind w:firstLine="480"/>
        <w:jc w:val="left"/>
        <w:rPr>
          <w:rFonts w:ascii="宋体" w:hAnsi="宋体"/>
          <w:sz w:val="24"/>
          <w:szCs w:val="21"/>
        </w:rPr>
      </w:pPr>
      <w:r>
        <w:rPr>
          <w:rFonts w:hint="eastAsia" w:ascii="宋体" w:hAnsi="宋体"/>
          <w:sz w:val="24"/>
          <w:szCs w:val="21"/>
        </w:rPr>
        <w:t>据此函，__________签字人兹宣布同意如下：</w:t>
      </w:r>
    </w:p>
    <w:p w14:paraId="43CE77CC">
      <w:pPr>
        <w:spacing w:line="360" w:lineRule="auto"/>
        <w:ind w:firstLine="480"/>
        <w:jc w:val="left"/>
        <w:rPr>
          <w:rFonts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5FA0AF04">
      <w:pPr>
        <w:spacing w:line="360" w:lineRule="auto"/>
        <w:ind w:firstLine="480"/>
        <w:jc w:val="left"/>
        <w:rPr>
          <w:rFonts w:ascii="宋体" w:hAnsi="宋体"/>
          <w:sz w:val="24"/>
          <w:szCs w:val="21"/>
        </w:rPr>
      </w:pPr>
      <w:r>
        <w:rPr>
          <w:rFonts w:hint="eastAsia" w:ascii="宋体" w:hAnsi="宋体"/>
          <w:sz w:val="24"/>
          <w:szCs w:val="21"/>
        </w:rPr>
        <w:t>2.我们完全理解贵方不一定将合同授予最低报价的供应商。</w:t>
      </w:r>
    </w:p>
    <w:p w14:paraId="0D88D122">
      <w:pPr>
        <w:spacing w:line="360" w:lineRule="auto"/>
        <w:ind w:firstLine="480"/>
        <w:jc w:val="left"/>
        <w:rPr>
          <w:rFonts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325E772C">
      <w:pPr>
        <w:spacing w:line="360" w:lineRule="auto"/>
        <w:ind w:firstLine="480"/>
        <w:jc w:val="left"/>
        <w:rPr>
          <w:rFonts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580C88EB">
      <w:pPr>
        <w:spacing w:line="360" w:lineRule="auto"/>
        <w:ind w:firstLine="480"/>
        <w:jc w:val="left"/>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4E427223">
      <w:pPr>
        <w:spacing w:line="360" w:lineRule="auto"/>
        <w:ind w:firstLine="480"/>
        <w:jc w:val="left"/>
        <w:rPr>
          <w:rFonts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0446CF68">
      <w:pPr>
        <w:spacing w:line="360" w:lineRule="auto"/>
        <w:ind w:left="425"/>
        <w:jc w:val="left"/>
        <w:rPr>
          <w:rFonts w:ascii="宋体" w:hAnsi="宋体"/>
          <w:sz w:val="24"/>
          <w:szCs w:val="21"/>
        </w:rPr>
      </w:pPr>
      <w:r>
        <w:rPr>
          <w:rFonts w:ascii="宋体" w:hAnsi="宋体"/>
          <w:sz w:val="24"/>
          <w:szCs w:val="21"/>
        </w:rPr>
        <w:t>7</w:t>
      </w:r>
      <w:r>
        <w:rPr>
          <w:rFonts w:hint="eastAsia" w:ascii="宋体" w:hAnsi="宋体"/>
          <w:sz w:val="24"/>
          <w:szCs w:val="21"/>
        </w:rPr>
        <w:t>.我方与本磋商有关的正式通讯地址为：</w:t>
      </w:r>
    </w:p>
    <w:p w14:paraId="0A724297">
      <w:pPr>
        <w:spacing w:line="360" w:lineRule="auto"/>
        <w:ind w:left="420" w:firstLine="480"/>
        <w:jc w:val="left"/>
        <w:rPr>
          <w:rFonts w:ascii="宋体" w:hAnsi="宋体"/>
          <w:sz w:val="24"/>
          <w:szCs w:val="21"/>
        </w:rPr>
      </w:pPr>
      <w:bookmarkStart w:id="539" w:name="_Hlk149920288"/>
      <w:r>
        <w:rPr>
          <w:rFonts w:hint="eastAsia" w:ascii="宋体" w:hAnsi="宋体"/>
          <w:sz w:val="24"/>
          <w:szCs w:val="21"/>
        </w:rPr>
        <w:t>地          址：</w:t>
      </w:r>
    </w:p>
    <w:p w14:paraId="725C8FEF">
      <w:pPr>
        <w:spacing w:line="360" w:lineRule="auto"/>
        <w:ind w:left="420" w:firstLine="480"/>
        <w:jc w:val="left"/>
        <w:rPr>
          <w:rFonts w:ascii="宋体" w:hAnsi="宋体"/>
          <w:sz w:val="24"/>
          <w:szCs w:val="21"/>
        </w:rPr>
      </w:pPr>
      <w:r>
        <w:rPr>
          <w:rFonts w:hint="eastAsia" w:ascii="宋体" w:hAnsi="宋体"/>
          <w:sz w:val="24"/>
          <w:szCs w:val="21"/>
        </w:rPr>
        <w:t>邮          编：</w:t>
      </w:r>
    </w:p>
    <w:p w14:paraId="7667DEDF">
      <w:pPr>
        <w:spacing w:line="360" w:lineRule="auto"/>
        <w:ind w:left="420" w:firstLine="480"/>
        <w:jc w:val="left"/>
        <w:rPr>
          <w:rFonts w:ascii="宋体" w:hAnsi="宋体"/>
          <w:sz w:val="24"/>
          <w:szCs w:val="21"/>
        </w:rPr>
      </w:pPr>
      <w:r>
        <w:rPr>
          <w:rFonts w:hint="eastAsia" w:ascii="宋体" w:hAnsi="宋体"/>
          <w:sz w:val="24"/>
          <w:szCs w:val="21"/>
        </w:rPr>
        <w:t>电          话：</w:t>
      </w:r>
    </w:p>
    <w:p w14:paraId="416490FC">
      <w:pPr>
        <w:spacing w:line="360" w:lineRule="auto"/>
        <w:ind w:left="420" w:firstLine="480"/>
        <w:jc w:val="left"/>
        <w:rPr>
          <w:rFonts w:ascii="宋体" w:hAnsi="宋体"/>
          <w:sz w:val="24"/>
          <w:szCs w:val="21"/>
        </w:rPr>
      </w:pPr>
      <w:r>
        <w:rPr>
          <w:rFonts w:hint="eastAsia" w:ascii="宋体" w:hAnsi="宋体"/>
          <w:sz w:val="24"/>
          <w:szCs w:val="21"/>
        </w:rPr>
        <w:t>传          真：</w:t>
      </w:r>
    </w:p>
    <w:p w14:paraId="0538973D">
      <w:pPr>
        <w:spacing w:line="360" w:lineRule="auto"/>
        <w:ind w:left="420" w:firstLine="480"/>
        <w:jc w:val="left"/>
        <w:rPr>
          <w:rFonts w:ascii="宋体" w:hAnsi="宋体"/>
          <w:sz w:val="24"/>
          <w:szCs w:val="21"/>
        </w:rPr>
      </w:pPr>
      <w:r>
        <w:rPr>
          <w:rFonts w:hint="eastAsia" w:ascii="宋体" w:hAnsi="宋体"/>
          <w:sz w:val="24"/>
          <w:szCs w:val="21"/>
        </w:rPr>
        <w:t>供应商开户行：</w:t>
      </w:r>
    </w:p>
    <w:p w14:paraId="5170F894">
      <w:pPr>
        <w:spacing w:line="360" w:lineRule="auto"/>
        <w:ind w:left="420" w:firstLine="480"/>
        <w:jc w:val="left"/>
        <w:rPr>
          <w:rFonts w:ascii="宋体" w:hAnsi="宋体"/>
          <w:sz w:val="24"/>
          <w:szCs w:val="21"/>
        </w:rPr>
      </w:pPr>
      <w:r>
        <w:rPr>
          <w:rFonts w:hint="eastAsia" w:ascii="宋体" w:hAnsi="宋体"/>
          <w:sz w:val="24"/>
          <w:szCs w:val="21"/>
        </w:rPr>
        <w:t xml:space="preserve">账          号： </w:t>
      </w:r>
    </w:p>
    <w:p w14:paraId="67CC5C60">
      <w:pPr>
        <w:spacing w:line="360" w:lineRule="auto"/>
        <w:ind w:left="420" w:firstLine="420"/>
        <w:jc w:val="left"/>
        <w:rPr>
          <w:rFonts w:ascii="宋体" w:hAnsi="宋体"/>
          <w:bCs/>
        </w:rPr>
      </w:pPr>
    </w:p>
    <w:p w14:paraId="72DD2AF6">
      <w:pPr>
        <w:spacing w:line="360" w:lineRule="auto"/>
        <w:ind w:left="420" w:firstLine="4080"/>
        <w:jc w:val="left"/>
        <w:rPr>
          <w:rFonts w:ascii="宋体" w:hAnsi="宋体"/>
          <w:sz w:val="24"/>
          <w:szCs w:val="21"/>
        </w:rPr>
      </w:pPr>
      <w:r>
        <w:rPr>
          <w:rFonts w:hint="eastAsia" w:ascii="宋体" w:hAnsi="宋体"/>
          <w:sz w:val="24"/>
          <w:szCs w:val="21"/>
        </w:rPr>
        <w:t>供应商名称：（加盖CA电子公章）</w:t>
      </w:r>
    </w:p>
    <w:p w14:paraId="1E3EEA03">
      <w:pPr>
        <w:spacing w:line="360" w:lineRule="auto"/>
        <w:ind w:left="420" w:firstLine="4080"/>
        <w:jc w:val="left"/>
        <w:rPr>
          <w:rFonts w:ascii="宋体" w:hAnsi="宋体"/>
          <w:sz w:val="24"/>
          <w:szCs w:val="21"/>
        </w:rPr>
      </w:pPr>
      <w:r>
        <w:rPr>
          <w:rFonts w:hint="eastAsia" w:ascii="宋体" w:hAnsi="宋体"/>
          <w:sz w:val="24"/>
          <w:szCs w:val="21"/>
        </w:rPr>
        <w:t>日 期：________年____月____日</w:t>
      </w:r>
      <w:bookmarkEnd w:id="537"/>
    </w:p>
    <w:bookmarkEnd w:id="539"/>
    <w:p w14:paraId="10194978">
      <w:pPr>
        <w:spacing w:line="360" w:lineRule="auto"/>
        <w:rPr>
          <w:rFonts w:ascii="宋体" w:hAnsi="宋体" w:cs="宋体"/>
          <w:b/>
          <w:sz w:val="28"/>
          <w:szCs w:val="28"/>
        </w:rPr>
      </w:pPr>
    </w:p>
    <w:p w14:paraId="16E7A31E">
      <w:pPr>
        <w:spacing w:line="360" w:lineRule="auto"/>
        <w:rPr>
          <w:rFonts w:ascii="宋体" w:hAnsi="宋体" w:cs="宋体"/>
          <w:b/>
          <w:sz w:val="28"/>
          <w:szCs w:val="28"/>
        </w:rPr>
      </w:pPr>
    </w:p>
    <w:p w14:paraId="7952F0DC">
      <w:pPr>
        <w:keepNext/>
        <w:keepLines/>
        <w:widowControl/>
        <w:spacing w:after="120" w:line="360" w:lineRule="auto"/>
        <w:jc w:val="center"/>
        <w:outlineLvl w:val="0"/>
        <w:rPr>
          <w:rFonts w:ascii="宋体" w:hAnsi="宋体"/>
          <w:b/>
          <w:spacing w:val="20"/>
          <w:sz w:val="32"/>
          <w:szCs w:val="32"/>
        </w:rPr>
      </w:pPr>
      <w:bookmarkStart w:id="540" w:name="_Toc31004"/>
      <w:bookmarkStart w:id="541" w:name="_Toc3401"/>
      <w:bookmarkStart w:id="542" w:name="_Toc152678691"/>
      <w:bookmarkStart w:id="543" w:name="_Toc160609069"/>
      <w:r>
        <w:rPr>
          <w:rFonts w:hint="eastAsia" w:ascii="宋体" w:hAnsi="宋体"/>
          <w:b/>
          <w:spacing w:val="20"/>
          <w:sz w:val="32"/>
          <w:szCs w:val="32"/>
        </w:rPr>
        <w:t>十三、技术偏离表</w:t>
      </w:r>
      <w:r>
        <w:rPr>
          <w:rFonts w:ascii="宋体" w:hAnsi="宋体"/>
          <w:b/>
          <w:spacing w:val="20"/>
          <w:sz w:val="32"/>
          <w:szCs w:val="32"/>
        </w:rPr>
        <w:t>（实质性格式）</w:t>
      </w:r>
      <w:bookmarkEnd w:id="540"/>
      <w:bookmarkEnd w:id="541"/>
      <w:bookmarkEnd w:id="542"/>
      <w:bookmarkEnd w:id="543"/>
    </w:p>
    <w:p w14:paraId="08DB4AFE">
      <w:pPr>
        <w:spacing w:line="360" w:lineRule="auto"/>
        <w:rPr>
          <w:rFonts w:ascii="宋体" w:hAnsi="宋体" w:cs="宋体"/>
          <w:sz w:val="20"/>
          <w:szCs w:val="21"/>
        </w:rPr>
      </w:pPr>
      <w:r>
        <w:rPr>
          <w:rFonts w:hint="eastAsia" w:ascii="宋体" w:hAnsi="宋体" w:cs="黑体"/>
          <w:bCs/>
          <w:sz w:val="24"/>
        </w:rPr>
        <w:t>采购项目编号：</w:t>
      </w:r>
    </w:p>
    <w:tbl>
      <w:tblPr>
        <w:tblStyle w:val="49"/>
        <w:tblpPr w:leftFromText="180" w:rightFromText="180" w:vertAnchor="text" w:horzAnchor="page" w:tblpX="1482" w:tblpY="396"/>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7EFA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8" w:type="dxa"/>
            <w:noWrap w:val="0"/>
            <w:vAlign w:val="center"/>
          </w:tcPr>
          <w:p w14:paraId="7A617C8D">
            <w:pPr>
              <w:spacing w:line="360" w:lineRule="auto"/>
              <w:jc w:val="center"/>
              <w:rPr>
                <w:rFonts w:ascii="宋体" w:hAnsi="宋体" w:cs="黑体"/>
                <w:bCs/>
                <w:sz w:val="24"/>
              </w:rPr>
            </w:pPr>
            <w:r>
              <w:rPr>
                <w:rFonts w:hint="eastAsia" w:ascii="宋体" w:hAnsi="宋体" w:cs="黑体"/>
                <w:bCs/>
                <w:sz w:val="24"/>
              </w:rPr>
              <w:t>序号</w:t>
            </w:r>
          </w:p>
        </w:tc>
        <w:tc>
          <w:tcPr>
            <w:tcW w:w="2419" w:type="dxa"/>
            <w:noWrap w:val="0"/>
            <w:vAlign w:val="center"/>
          </w:tcPr>
          <w:p w14:paraId="302094A9">
            <w:pPr>
              <w:spacing w:line="360" w:lineRule="auto"/>
              <w:ind w:firstLine="480"/>
              <w:rPr>
                <w:rFonts w:ascii="宋体" w:hAnsi="宋体" w:cs="黑体"/>
                <w:bCs/>
                <w:sz w:val="24"/>
              </w:rPr>
            </w:pPr>
            <w:r>
              <w:rPr>
                <w:rFonts w:hint="eastAsia" w:ascii="宋体" w:hAnsi="宋体" w:cs="黑体"/>
                <w:bCs/>
                <w:sz w:val="24"/>
              </w:rPr>
              <w:t>名称及内容</w:t>
            </w:r>
          </w:p>
        </w:tc>
        <w:tc>
          <w:tcPr>
            <w:tcW w:w="1559" w:type="dxa"/>
            <w:noWrap w:val="0"/>
            <w:vAlign w:val="center"/>
          </w:tcPr>
          <w:p w14:paraId="48A9E644">
            <w:pPr>
              <w:spacing w:line="360" w:lineRule="auto"/>
              <w:jc w:val="center"/>
              <w:rPr>
                <w:rFonts w:ascii="宋体" w:hAnsi="宋体" w:cs="黑体"/>
                <w:bCs/>
                <w:sz w:val="24"/>
              </w:rPr>
            </w:pPr>
            <w:r>
              <w:rPr>
                <w:rFonts w:hint="eastAsia" w:ascii="宋体" w:hAnsi="宋体" w:cs="黑体"/>
                <w:bCs/>
                <w:sz w:val="24"/>
              </w:rPr>
              <w:t>磋商文件技术参数</w:t>
            </w:r>
          </w:p>
        </w:tc>
        <w:tc>
          <w:tcPr>
            <w:tcW w:w="1418" w:type="dxa"/>
            <w:noWrap w:val="0"/>
            <w:vAlign w:val="center"/>
          </w:tcPr>
          <w:p w14:paraId="69759B65">
            <w:pPr>
              <w:spacing w:line="360" w:lineRule="auto"/>
              <w:jc w:val="center"/>
              <w:rPr>
                <w:rFonts w:ascii="宋体" w:hAnsi="宋体" w:cs="黑体"/>
                <w:bCs/>
                <w:sz w:val="24"/>
              </w:rPr>
            </w:pPr>
            <w:r>
              <w:rPr>
                <w:rFonts w:hint="eastAsia" w:ascii="宋体" w:hAnsi="宋体" w:cs="黑体"/>
                <w:bCs/>
                <w:sz w:val="24"/>
              </w:rPr>
              <w:t>响应文件技术参数</w:t>
            </w:r>
          </w:p>
        </w:tc>
        <w:tc>
          <w:tcPr>
            <w:tcW w:w="2119" w:type="dxa"/>
            <w:noWrap w:val="0"/>
            <w:vAlign w:val="center"/>
          </w:tcPr>
          <w:p w14:paraId="26BBA273">
            <w:pPr>
              <w:spacing w:line="360" w:lineRule="auto"/>
              <w:ind w:firstLine="240"/>
              <w:rPr>
                <w:rFonts w:ascii="宋体" w:hAnsi="宋体" w:cs="黑体"/>
                <w:bCs/>
                <w:sz w:val="24"/>
              </w:rPr>
            </w:pPr>
            <w:r>
              <w:rPr>
                <w:rFonts w:hint="eastAsia" w:ascii="宋体" w:hAnsi="宋体" w:cs="黑体"/>
                <w:bCs/>
                <w:sz w:val="24"/>
              </w:rPr>
              <w:t>证明材料</w:t>
            </w:r>
          </w:p>
        </w:tc>
        <w:tc>
          <w:tcPr>
            <w:tcW w:w="1710" w:type="dxa"/>
            <w:noWrap w:val="0"/>
            <w:vAlign w:val="center"/>
          </w:tcPr>
          <w:p w14:paraId="1E3EEE7D">
            <w:pPr>
              <w:spacing w:line="360" w:lineRule="auto"/>
              <w:ind w:firstLine="480"/>
              <w:rPr>
                <w:rFonts w:ascii="宋体" w:hAnsi="宋体" w:cs="黑体"/>
                <w:bCs/>
                <w:sz w:val="24"/>
              </w:rPr>
            </w:pPr>
          </w:p>
          <w:p w14:paraId="5605B3BC">
            <w:pPr>
              <w:spacing w:line="360" w:lineRule="auto"/>
              <w:ind w:firstLine="240"/>
              <w:rPr>
                <w:rFonts w:ascii="宋体" w:hAnsi="宋体" w:cs="黑体"/>
                <w:bCs/>
                <w:sz w:val="24"/>
              </w:rPr>
            </w:pPr>
            <w:r>
              <w:rPr>
                <w:rFonts w:hint="eastAsia" w:ascii="宋体" w:hAnsi="宋体" w:cs="黑体"/>
                <w:bCs/>
                <w:sz w:val="24"/>
              </w:rPr>
              <w:t>偏离情况</w:t>
            </w:r>
          </w:p>
          <w:p w14:paraId="5D01A98B">
            <w:pPr>
              <w:spacing w:line="360" w:lineRule="auto"/>
              <w:rPr>
                <w:rFonts w:ascii="宋体" w:hAnsi="宋体" w:cs="黑体"/>
                <w:bCs/>
                <w:sz w:val="24"/>
              </w:rPr>
            </w:pPr>
          </w:p>
        </w:tc>
      </w:tr>
      <w:tr w14:paraId="5D79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8" w:type="dxa"/>
            <w:noWrap w:val="0"/>
            <w:vAlign w:val="top"/>
          </w:tcPr>
          <w:p w14:paraId="5DA82172">
            <w:pPr>
              <w:spacing w:line="360" w:lineRule="auto"/>
              <w:ind w:firstLine="240"/>
              <w:rPr>
                <w:rFonts w:ascii="宋体" w:hAnsi="宋体" w:cs="黑体"/>
                <w:bCs/>
                <w:sz w:val="24"/>
              </w:rPr>
            </w:pPr>
            <w:r>
              <w:rPr>
                <w:rFonts w:hint="eastAsia" w:ascii="宋体" w:hAnsi="宋体" w:cs="黑体"/>
                <w:bCs/>
                <w:sz w:val="24"/>
              </w:rPr>
              <w:t>1</w:t>
            </w:r>
          </w:p>
        </w:tc>
        <w:tc>
          <w:tcPr>
            <w:tcW w:w="2419" w:type="dxa"/>
            <w:noWrap w:val="0"/>
            <w:vAlign w:val="top"/>
          </w:tcPr>
          <w:p w14:paraId="1DF92C97">
            <w:pPr>
              <w:spacing w:line="360" w:lineRule="auto"/>
              <w:rPr>
                <w:rFonts w:ascii="宋体" w:hAnsi="宋体" w:cs="黑体"/>
                <w:bCs/>
                <w:sz w:val="24"/>
              </w:rPr>
            </w:pPr>
          </w:p>
        </w:tc>
        <w:tc>
          <w:tcPr>
            <w:tcW w:w="1559" w:type="dxa"/>
            <w:noWrap w:val="0"/>
            <w:vAlign w:val="top"/>
          </w:tcPr>
          <w:p w14:paraId="77F69F3D">
            <w:pPr>
              <w:spacing w:line="360" w:lineRule="auto"/>
              <w:ind w:firstLine="240"/>
              <w:jc w:val="center"/>
              <w:rPr>
                <w:rFonts w:ascii="宋体" w:hAnsi="宋体" w:cs="黑体"/>
                <w:bCs/>
                <w:sz w:val="24"/>
              </w:rPr>
            </w:pPr>
          </w:p>
        </w:tc>
        <w:tc>
          <w:tcPr>
            <w:tcW w:w="1418" w:type="dxa"/>
            <w:noWrap w:val="0"/>
            <w:vAlign w:val="top"/>
          </w:tcPr>
          <w:p w14:paraId="6CC8395D">
            <w:pPr>
              <w:spacing w:line="360" w:lineRule="auto"/>
              <w:ind w:firstLine="240"/>
              <w:jc w:val="center"/>
              <w:rPr>
                <w:rFonts w:ascii="宋体" w:hAnsi="宋体" w:cs="黑体"/>
                <w:bCs/>
                <w:sz w:val="24"/>
              </w:rPr>
            </w:pPr>
          </w:p>
        </w:tc>
        <w:tc>
          <w:tcPr>
            <w:tcW w:w="2119" w:type="dxa"/>
            <w:noWrap w:val="0"/>
            <w:vAlign w:val="top"/>
          </w:tcPr>
          <w:p w14:paraId="23A0D8F8">
            <w:pPr>
              <w:spacing w:line="360" w:lineRule="auto"/>
              <w:ind w:firstLine="240"/>
              <w:rPr>
                <w:rFonts w:ascii="宋体" w:hAnsi="宋体" w:cs="黑体"/>
                <w:bCs/>
                <w:sz w:val="24"/>
              </w:rPr>
            </w:pPr>
          </w:p>
        </w:tc>
        <w:tc>
          <w:tcPr>
            <w:tcW w:w="1710" w:type="dxa"/>
            <w:noWrap w:val="0"/>
            <w:vAlign w:val="top"/>
          </w:tcPr>
          <w:p w14:paraId="7EA7203E">
            <w:pPr>
              <w:spacing w:line="360" w:lineRule="auto"/>
              <w:ind w:firstLine="240"/>
              <w:rPr>
                <w:rFonts w:ascii="宋体" w:hAnsi="宋体" w:cs="黑体"/>
                <w:bCs/>
                <w:sz w:val="24"/>
              </w:rPr>
            </w:pPr>
          </w:p>
        </w:tc>
      </w:tr>
      <w:tr w14:paraId="50E1B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noWrap w:val="0"/>
            <w:vAlign w:val="top"/>
          </w:tcPr>
          <w:p w14:paraId="4A3D8C3F">
            <w:pPr>
              <w:spacing w:line="360" w:lineRule="auto"/>
              <w:ind w:firstLine="240"/>
              <w:rPr>
                <w:rFonts w:ascii="宋体" w:hAnsi="宋体" w:cs="黑体"/>
                <w:bCs/>
                <w:sz w:val="24"/>
              </w:rPr>
            </w:pPr>
            <w:r>
              <w:rPr>
                <w:rFonts w:hint="eastAsia" w:ascii="宋体" w:hAnsi="宋体" w:cs="黑体"/>
                <w:bCs/>
                <w:sz w:val="24"/>
              </w:rPr>
              <w:t>2</w:t>
            </w:r>
          </w:p>
        </w:tc>
        <w:tc>
          <w:tcPr>
            <w:tcW w:w="2419" w:type="dxa"/>
            <w:noWrap w:val="0"/>
            <w:vAlign w:val="top"/>
          </w:tcPr>
          <w:p w14:paraId="1C8FF381">
            <w:pPr>
              <w:spacing w:line="360" w:lineRule="auto"/>
              <w:ind w:firstLine="240"/>
              <w:rPr>
                <w:rFonts w:ascii="宋体" w:hAnsi="宋体" w:cs="黑体"/>
                <w:bCs/>
                <w:sz w:val="24"/>
              </w:rPr>
            </w:pPr>
          </w:p>
        </w:tc>
        <w:tc>
          <w:tcPr>
            <w:tcW w:w="1559" w:type="dxa"/>
            <w:noWrap w:val="0"/>
            <w:vAlign w:val="top"/>
          </w:tcPr>
          <w:p w14:paraId="47CCD08A">
            <w:pPr>
              <w:spacing w:line="360" w:lineRule="auto"/>
              <w:ind w:firstLine="240"/>
              <w:jc w:val="center"/>
              <w:rPr>
                <w:rFonts w:ascii="宋体" w:hAnsi="宋体" w:cs="黑体"/>
                <w:bCs/>
                <w:sz w:val="24"/>
              </w:rPr>
            </w:pPr>
          </w:p>
        </w:tc>
        <w:tc>
          <w:tcPr>
            <w:tcW w:w="1418" w:type="dxa"/>
            <w:noWrap w:val="0"/>
            <w:vAlign w:val="top"/>
          </w:tcPr>
          <w:p w14:paraId="5388E2AF">
            <w:pPr>
              <w:spacing w:line="360" w:lineRule="auto"/>
              <w:ind w:firstLine="720"/>
              <w:jc w:val="center"/>
              <w:rPr>
                <w:rFonts w:ascii="宋体" w:hAnsi="宋体" w:cs="黑体"/>
                <w:bCs/>
                <w:sz w:val="24"/>
              </w:rPr>
            </w:pPr>
          </w:p>
        </w:tc>
        <w:tc>
          <w:tcPr>
            <w:tcW w:w="2119" w:type="dxa"/>
            <w:noWrap w:val="0"/>
            <w:vAlign w:val="top"/>
          </w:tcPr>
          <w:p w14:paraId="3BA043CC">
            <w:pPr>
              <w:spacing w:line="360" w:lineRule="auto"/>
              <w:ind w:firstLine="240"/>
              <w:rPr>
                <w:rFonts w:ascii="宋体" w:hAnsi="宋体" w:cs="黑体"/>
                <w:bCs/>
                <w:sz w:val="24"/>
              </w:rPr>
            </w:pPr>
          </w:p>
        </w:tc>
        <w:tc>
          <w:tcPr>
            <w:tcW w:w="1710" w:type="dxa"/>
            <w:noWrap w:val="0"/>
            <w:vAlign w:val="top"/>
          </w:tcPr>
          <w:p w14:paraId="342D45F8">
            <w:pPr>
              <w:spacing w:line="360" w:lineRule="auto"/>
              <w:ind w:firstLine="240"/>
              <w:rPr>
                <w:rFonts w:ascii="宋体" w:hAnsi="宋体" w:cs="黑体"/>
                <w:bCs/>
                <w:sz w:val="24"/>
              </w:rPr>
            </w:pPr>
          </w:p>
        </w:tc>
      </w:tr>
      <w:tr w14:paraId="4A17D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noWrap w:val="0"/>
            <w:vAlign w:val="top"/>
          </w:tcPr>
          <w:p w14:paraId="6A7D8654">
            <w:pPr>
              <w:spacing w:line="360" w:lineRule="auto"/>
              <w:ind w:firstLine="240"/>
              <w:rPr>
                <w:rFonts w:ascii="宋体" w:hAnsi="宋体" w:cs="黑体"/>
                <w:bCs/>
                <w:sz w:val="24"/>
              </w:rPr>
            </w:pPr>
            <w:r>
              <w:rPr>
                <w:rFonts w:hint="eastAsia" w:ascii="宋体" w:hAnsi="宋体" w:cs="黑体"/>
                <w:bCs/>
                <w:sz w:val="24"/>
              </w:rPr>
              <w:t>3</w:t>
            </w:r>
          </w:p>
        </w:tc>
        <w:tc>
          <w:tcPr>
            <w:tcW w:w="2419" w:type="dxa"/>
            <w:noWrap w:val="0"/>
            <w:vAlign w:val="top"/>
          </w:tcPr>
          <w:p w14:paraId="560F77CC">
            <w:pPr>
              <w:spacing w:line="360" w:lineRule="auto"/>
              <w:ind w:firstLine="240"/>
              <w:rPr>
                <w:rFonts w:ascii="宋体" w:hAnsi="宋体" w:cs="黑体"/>
                <w:bCs/>
                <w:sz w:val="24"/>
              </w:rPr>
            </w:pPr>
          </w:p>
        </w:tc>
        <w:tc>
          <w:tcPr>
            <w:tcW w:w="1559" w:type="dxa"/>
            <w:noWrap w:val="0"/>
            <w:vAlign w:val="top"/>
          </w:tcPr>
          <w:p w14:paraId="0373E6BF">
            <w:pPr>
              <w:spacing w:line="360" w:lineRule="auto"/>
              <w:ind w:firstLine="240"/>
              <w:jc w:val="center"/>
              <w:rPr>
                <w:rFonts w:ascii="宋体" w:hAnsi="宋体" w:cs="黑体"/>
                <w:bCs/>
                <w:sz w:val="24"/>
              </w:rPr>
            </w:pPr>
          </w:p>
        </w:tc>
        <w:tc>
          <w:tcPr>
            <w:tcW w:w="1418" w:type="dxa"/>
            <w:noWrap w:val="0"/>
            <w:vAlign w:val="top"/>
          </w:tcPr>
          <w:p w14:paraId="692774BD">
            <w:pPr>
              <w:spacing w:line="360" w:lineRule="auto"/>
              <w:ind w:firstLine="720"/>
              <w:jc w:val="center"/>
              <w:rPr>
                <w:rFonts w:ascii="宋体" w:hAnsi="宋体" w:cs="黑体"/>
                <w:bCs/>
                <w:sz w:val="24"/>
              </w:rPr>
            </w:pPr>
          </w:p>
        </w:tc>
        <w:tc>
          <w:tcPr>
            <w:tcW w:w="2119" w:type="dxa"/>
            <w:noWrap w:val="0"/>
            <w:vAlign w:val="top"/>
          </w:tcPr>
          <w:p w14:paraId="1E4169E6">
            <w:pPr>
              <w:spacing w:line="360" w:lineRule="auto"/>
              <w:ind w:firstLine="240"/>
              <w:rPr>
                <w:rFonts w:ascii="宋体" w:hAnsi="宋体" w:cs="黑体"/>
                <w:bCs/>
                <w:sz w:val="24"/>
              </w:rPr>
            </w:pPr>
          </w:p>
        </w:tc>
        <w:tc>
          <w:tcPr>
            <w:tcW w:w="1710" w:type="dxa"/>
            <w:noWrap w:val="0"/>
            <w:vAlign w:val="top"/>
          </w:tcPr>
          <w:p w14:paraId="41962E4E">
            <w:pPr>
              <w:spacing w:line="360" w:lineRule="auto"/>
              <w:ind w:firstLine="240"/>
              <w:rPr>
                <w:rFonts w:ascii="宋体" w:hAnsi="宋体" w:cs="黑体"/>
                <w:bCs/>
                <w:sz w:val="24"/>
              </w:rPr>
            </w:pPr>
          </w:p>
        </w:tc>
      </w:tr>
      <w:tr w14:paraId="0626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8" w:type="dxa"/>
            <w:noWrap w:val="0"/>
            <w:vAlign w:val="top"/>
          </w:tcPr>
          <w:p w14:paraId="37AABFF4">
            <w:pPr>
              <w:spacing w:line="360" w:lineRule="auto"/>
              <w:ind w:firstLine="240"/>
              <w:rPr>
                <w:rFonts w:ascii="宋体" w:hAnsi="宋体" w:cs="黑体"/>
                <w:bCs/>
                <w:sz w:val="24"/>
              </w:rPr>
            </w:pPr>
            <w:r>
              <w:rPr>
                <w:rFonts w:hint="eastAsia" w:ascii="宋体" w:hAnsi="宋体" w:cs="黑体"/>
                <w:bCs/>
                <w:sz w:val="24"/>
              </w:rPr>
              <w:t>…</w:t>
            </w:r>
          </w:p>
        </w:tc>
        <w:tc>
          <w:tcPr>
            <w:tcW w:w="2419" w:type="dxa"/>
            <w:noWrap w:val="0"/>
            <w:vAlign w:val="top"/>
          </w:tcPr>
          <w:p w14:paraId="6FFE1563">
            <w:pPr>
              <w:spacing w:line="360" w:lineRule="auto"/>
              <w:ind w:firstLine="240"/>
              <w:rPr>
                <w:rFonts w:ascii="宋体" w:hAnsi="宋体" w:cs="黑体"/>
                <w:bCs/>
                <w:sz w:val="24"/>
              </w:rPr>
            </w:pPr>
          </w:p>
        </w:tc>
        <w:tc>
          <w:tcPr>
            <w:tcW w:w="1559" w:type="dxa"/>
            <w:noWrap w:val="0"/>
            <w:vAlign w:val="top"/>
          </w:tcPr>
          <w:p w14:paraId="5D19E487">
            <w:pPr>
              <w:spacing w:line="360" w:lineRule="auto"/>
              <w:ind w:firstLine="240"/>
              <w:jc w:val="center"/>
              <w:rPr>
                <w:rFonts w:ascii="宋体" w:hAnsi="宋体" w:cs="黑体"/>
                <w:bCs/>
                <w:sz w:val="24"/>
              </w:rPr>
            </w:pPr>
          </w:p>
        </w:tc>
        <w:tc>
          <w:tcPr>
            <w:tcW w:w="1418" w:type="dxa"/>
            <w:noWrap w:val="0"/>
            <w:vAlign w:val="top"/>
          </w:tcPr>
          <w:p w14:paraId="0ECA3095">
            <w:pPr>
              <w:spacing w:line="360" w:lineRule="auto"/>
              <w:ind w:firstLine="240"/>
              <w:jc w:val="center"/>
              <w:rPr>
                <w:rFonts w:ascii="宋体" w:hAnsi="宋体" w:cs="黑体"/>
                <w:bCs/>
                <w:sz w:val="24"/>
              </w:rPr>
            </w:pPr>
          </w:p>
        </w:tc>
        <w:tc>
          <w:tcPr>
            <w:tcW w:w="2119" w:type="dxa"/>
            <w:noWrap w:val="0"/>
            <w:vAlign w:val="top"/>
          </w:tcPr>
          <w:p w14:paraId="17E48A5F">
            <w:pPr>
              <w:spacing w:line="360" w:lineRule="auto"/>
              <w:ind w:firstLine="240"/>
              <w:rPr>
                <w:rFonts w:ascii="宋体" w:hAnsi="宋体" w:cs="黑体"/>
                <w:bCs/>
                <w:sz w:val="24"/>
              </w:rPr>
            </w:pPr>
          </w:p>
        </w:tc>
        <w:tc>
          <w:tcPr>
            <w:tcW w:w="1710" w:type="dxa"/>
            <w:noWrap w:val="0"/>
            <w:vAlign w:val="top"/>
          </w:tcPr>
          <w:p w14:paraId="4011F296">
            <w:pPr>
              <w:spacing w:line="360" w:lineRule="auto"/>
              <w:ind w:firstLine="240"/>
              <w:rPr>
                <w:rFonts w:ascii="宋体" w:hAnsi="宋体" w:cs="黑体"/>
                <w:bCs/>
                <w:sz w:val="24"/>
              </w:rPr>
            </w:pPr>
          </w:p>
        </w:tc>
      </w:tr>
    </w:tbl>
    <w:p w14:paraId="54D698A6">
      <w:pPr>
        <w:spacing w:line="360" w:lineRule="auto"/>
        <w:rPr>
          <w:rFonts w:ascii="宋体" w:hAnsi="宋体" w:cs="宋体"/>
          <w:sz w:val="20"/>
          <w:szCs w:val="21"/>
        </w:rPr>
      </w:pPr>
    </w:p>
    <w:p w14:paraId="2172B3FE">
      <w:pPr>
        <w:spacing w:line="360" w:lineRule="auto"/>
        <w:rPr>
          <w:rFonts w:hint="eastAsia" w:ascii="宋体" w:hAnsi="宋体" w:cs="黑体"/>
          <w:bCs/>
          <w:sz w:val="24"/>
        </w:rPr>
      </w:pPr>
      <w:bookmarkStart w:id="544" w:name="_Hlk149916800"/>
      <w:bookmarkStart w:id="545" w:name="_Hlk149920299"/>
    </w:p>
    <w:p w14:paraId="01771526">
      <w:pPr>
        <w:spacing w:line="360" w:lineRule="auto"/>
        <w:rPr>
          <w:rFonts w:hint="eastAsia" w:ascii="宋体" w:hAnsi="宋体" w:cs="黑体"/>
          <w:bCs/>
          <w:sz w:val="24"/>
        </w:rPr>
      </w:pPr>
    </w:p>
    <w:p w14:paraId="1025960D">
      <w:pPr>
        <w:spacing w:line="360" w:lineRule="auto"/>
        <w:ind w:firstLine="4560" w:firstLineChars="1900"/>
        <w:rPr>
          <w:rFonts w:ascii="宋体" w:hAnsi="宋体" w:cs="黑体"/>
          <w:bCs/>
          <w:sz w:val="24"/>
        </w:rPr>
      </w:pPr>
      <w:r>
        <w:rPr>
          <w:rFonts w:hint="eastAsia" w:ascii="宋体" w:hAnsi="宋体" w:cs="黑体"/>
          <w:bCs/>
          <w:sz w:val="24"/>
        </w:rPr>
        <w:t>供应商名称：（加盖CA电子公章）</w:t>
      </w:r>
      <w:bookmarkEnd w:id="544"/>
      <w:bookmarkEnd w:id="545"/>
    </w:p>
    <w:p w14:paraId="2C678E39">
      <w:pPr>
        <w:spacing w:line="360" w:lineRule="auto"/>
        <w:ind w:firstLine="4800"/>
        <w:rPr>
          <w:rFonts w:ascii="宋体" w:hAnsi="宋体" w:cs="黑体"/>
          <w:bCs/>
          <w:sz w:val="24"/>
        </w:rPr>
      </w:pPr>
      <w:r>
        <w:rPr>
          <w:rFonts w:ascii="宋体" w:hAnsi="宋体" w:cs="黑体"/>
          <w:bCs/>
          <w:sz w:val="24"/>
        </w:rPr>
        <w:t>日期：_____年______月______日</w:t>
      </w:r>
    </w:p>
    <w:p w14:paraId="27C0AE5F">
      <w:pPr>
        <w:spacing w:line="360" w:lineRule="auto"/>
        <w:rPr>
          <w:rFonts w:ascii="宋体" w:hAnsi="宋体"/>
          <w:b/>
          <w:sz w:val="24"/>
          <w:szCs w:val="20"/>
        </w:rPr>
      </w:pPr>
      <w:r>
        <w:rPr>
          <w:rFonts w:hint="eastAsia" w:ascii="宋体" w:hAnsi="宋体"/>
          <w:b/>
          <w:sz w:val="24"/>
          <w:szCs w:val="20"/>
        </w:rPr>
        <w:t>注意事项：</w:t>
      </w:r>
    </w:p>
    <w:p w14:paraId="35D01AD7">
      <w:pPr>
        <w:spacing w:line="360" w:lineRule="auto"/>
        <w:ind w:firstLine="482"/>
        <w:rPr>
          <w:rFonts w:ascii="宋体" w:hAnsi="宋体"/>
          <w:b/>
          <w:bCs/>
          <w:sz w:val="24"/>
        </w:rPr>
      </w:pPr>
      <w:r>
        <w:rPr>
          <w:rFonts w:hint="eastAsia" w:ascii="宋体" w:hAnsi="宋体"/>
          <w:b/>
          <w:bCs/>
          <w:sz w:val="24"/>
          <w:lang w:val="en-US" w:eastAsia="zh-CN"/>
        </w:rPr>
        <w:t>1</w:t>
      </w:r>
      <w:r>
        <w:rPr>
          <w:rFonts w:hint="eastAsia" w:ascii="宋体" w:hAnsi="宋体"/>
          <w:b/>
          <w:bCs/>
          <w:sz w:val="24"/>
        </w:rPr>
        <w:t>、如根据磋商文件要求需提供“证明材料”的，需填写证明材料名称；磋商文件未要求提供“证明材料”的，可不填写。</w:t>
      </w:r>
    </w:p>
    <w:p w14:paraId="4FA25FC3">
      <w:pPr>
        <w:spacing w:line="360" w:lineRule="auto"/>
        <w:ind w:firstLine="482"/>
        <w:rPr>
          <w:rFonts w:ascii="宋体" w:hAnsi="宋体"/>
          <w:b/>
          <w:bCs/>
          <w:sz w:val="24"/>
        </w:rPr>
      </w:pPr>
      <w:r>
        <w:rPr>
          <w:rFonts w:hint="eastAsia" w:ascii="宋体" w:hAnsi="宋体"/>
          <w:b/>
          <w:bCs/>
          <w:sz w:val="24"/>
          <w:lang w:val="en-US" w:eastAsia="zh-CN"/>
        </w:rPr>
        <w:t>2</w:t>
      </w:r>
      <w:r>
        <w:rPr>
          <w:rFonts w:hint="eastAsia" w:ascii="宋体" w:hAnsi="宋体"/>
          <w:b/>
          <w:bCs/>
          <w:sz w:val="24"/>
        </w:rPr>
        <w:t>、如供应商提供的货物或服务与磋商文件的要求存在偏离，偏离情况可填写“正偏离”或“负偏离”；如完全满足磋商文件要求，偏离情况填写“完全满足”即可。</w:t>
      </w:r>
    </w:p>
    <w:p w14:paraId="391424EE">
      <w:pPr>
        <w:spacing w:line="360" w:lineRule="auto"/>
        <w:ind w:firstLine="482"/>
        <w:rPr>
          <w:rFonts w:ascii="宋体" w:hAnsi="宋体"/>
          <w:b/>
          <w:bCs/>
          <w:sz w:val="24"/>
        </w:rPr>
      </w:pPr>
    </w:p>
    <w:p w14:paraId="7D3AC7A7">
      <w:pPr>
        <w:spacing w:line="360" w:lineRule="auto"/>
        <w:ind w:firstLine="482"/>
        <w:rPr>
          <w:rFonts w:ascii="宋体" w:hAnsi="宋体"/>
          <w:b/>
          <w:bCs/>
          <w:sz w:val="24"/>
        </w:rPr>
      </w:pPr>
    </w:p>
    <w:p w14:paraId="073C2C39">
      <w:pPr>
        <w:spacing w:line="360" w:lineRule="auto"/>
        <w:ind w:firstLine="482"/>
        <w:rPr>
          <w:rFonts w:ascii="宋体" w:hAnsi="宋体"/>
          <w:b/>
          <w:bCs/>
          <w:sz w:val="24"/>
        </w:rPr>
      </w:pPr>
    </w:p>
    <w:p w14:paraId="5794B2F0">
      <w:pPr>
        <w:spacing w:line="360" w:lineRule="auto"/>
        <w:ind w:firstLine="482"/>
        <w:rPr>
          <w:rFonts w:ascii="宋体" w:hAnsi="宋体"/>
          <w:b/>
          <w:bCs/>
          <w:sz w:val="24"/>
        </w:rPr>
      </w:pPr>
    </w:p>
    <w:p w14:paraId="1499F9E8">
      <w:pPr>
        <w:spacing w:line="360" w:lineRule="auto"/>
        <w:ind w:firstLine="482"/>
        <w:rPr>
          <w:rFonts w:ascii="宋体" w:hAnsi="宋体"/>
          <w:b/>
          <w:bCs/>
          <w:sz w:val="24"/>
        </w:rPr>
      </w:pPr>
    </w:p>
    <w:p w14:paraId="546B8F75">
      <w:pPr>
        <w:keepNext/>
        <w:keepLines/>
        <w:widowControl/>
        <w:spacing w:after="120" w:line="360" w:lineRule="auto"/>
        <w:jc w:val="center"/>
        <w:outlineLvl w:val="0"/>
        <w:rPr>
          <w:rFonts w:ascii="宋体" w:hAnsi="宋体"/>
          <w:b/>
          <w:spacing w:val="20"/>
          <w:sz w:val="32"/>
          <w:szCs w:val="32"/>
        </w:rPr>
      </w:pPr>
      <w:bookmarkStart w:id="546" w:name="_Toc12017"/>
      <w:bookmarkStart w:id="547" w:name="_Toc152678692"/>
      <w:bookmarkStart w:id="548" w:name="_Toc160609070"/>
      <w:bookmarkStart w:id="549" w:name="_Toc9704"/>
      <w:r>
        <w:rPr>
          <w:rFonts w:hint="eastAsia" w:ascii="宋体" w:hAnsi="宋体"/>
          <w:b/>
          <w:spacing w:val="20"/>
          <w:sz w:val="32"/>
          <w:szCs w:val="32"/>
        </w:rPr>
        <w:t>十四、其他格式材料</w:t>
      </w:r>
      <w:bookmarkEnd w:id="546"/>
      <w:bookmarkEnd w:id="547"/>
      <w:bookmarkEnd w:id="548"/>
      <w:bookmarkEnd w:id="549"/>
    </w:p>
    <w:p w14:paraId="0EE6AE3C">
      <w:pPr>
        <w:spacing w:line="360" w:lineRule="auto"/>
        <w:jc w:val="center"/>
        <w:rPr>
          <w:rFonts w:ascii="宋体" w:hAnsi="宋体"/>
          <w:b/>
          <w:sz w:val="32"/>
          <w:szCs w:val="32"/>
        </w:rPr>
      </w:pPr>
      <w:r>
        <w:rPr>
          <w:rFonts w:hint="eastAsia" w:ascii="宋体" w:hAnsi="宋体"/>
          <w:b/>
          <w:sz w:val="32"/>
          <w:szCs w:val="32"/>
        </w:rPr>
        <w:t>1、参加本项目人员一览表</w:t>
      </w:r>
    </w:p>
    <w:p w14:paraId="562E768D">
      <w:pPr>
        <w:spacing w:line="360" w:lineRule="auto"/>
        <w:rPr>
          <w:rFonts w:ascii="宋体" w:hAnsi="宋体"/>
          <w:sz w:val="22"/>
        </w:rPr>
      </w:pPr>
    </w:p>
    <w:p w14:paraId="14C2E69C">
      <w:pPr>
        <w:spacing w:line="360" w:lineRule="auto"/>
        <w:rPr>
          <w:rFonts w:ascii="宋体" w:hAnsi="宋体" w:cs="宋体"/>
          <w:sz w:val="24"/>
        </w:rPr>
      </w:pPr>
      <w:r>
        <w:rPr>
          <w:rFonts w:hint="eastAsia" w:ascii="宋体" w:hAnsi="宋体" w:cs="宋体"/>
          <w:sz w:val="24"/>
        </w:rPr>
        <w:t>项目编号：</w:t>
      </w:r>
    </w:p>
    <w:tbl>
      <w:tblPr>
        <w:tblStyle w:val="4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A01C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45" w:type="dxa"/>
            <w:tcBorders>
              <w:top w:val="single" w:color="auto" w:sz="4" w:space="0"/>
              <w:left w:val="single" w:color="auto" w:sz="4" w:space="0"/>
              <w:bottom w:val="single" w:color="auto" w:sz="4" w:space="0"/>
              <w:right w:val="single" w:color="auto" w:sz="4" w:space="0"/>
            </w:tcBorders>
            <w:noWrap w:val="0"/>
            <w:vAlign w:val="center"/>
          </w:tcPr>
          <w:p w14:paraId="6C86CF88">
            <w:pPr>
              <w:tabs>
                <w:tab w:val="left" w:pos="9765"/>
              </w:tabs>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FD0B14C">
            <w:pPr>
              <w:tabs>
                <w:tab w:val="left" w:pos="9765"/>
              </w:tabs>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C10B768">
            <w:pPr>
              <w:tabs>
                <w:tab w:val="left" w:pos="9765"/>
              </w:tabs>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1309C3">
            <w:pPr>
              <w:tabs>
                <w:tab w:val="left" w:pos="9765"/>
              </w:tabs>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B6FAD63">
            <w:pPr>
              <w:tabs>
                <w:tab w:val="left" w:pos="9765"/>
              </w:tabs>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82C27C3">
            <w:pPr>
              <w:tabs>
                <w:tab w:val="left" w:pos="9765"/>
              </w:tabs>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DD1003F">
            <w:pPr>
              <w:tabs>
                <w:tab w:val="left" w:pos="9765"/>
              </w:tabs>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CC2C66D">
            <w:pPr>
              <w:tabs>
                <w:tab w:val="left" w:pos="9765"/>
              </w:tabs>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8DAADC9">
            <w:pPr>
              <w:tabs>
                <w:tab w:val="left" w:pos="9765"/>
              </w:tabs>
              <w:spacing w:line="360" w:lineRule="auto"/>
              <w:jc w:val="center"/>
              <w:rPr>
                <w:rFonts w:ascii="宋体" w:hAnsi="宋体" w:cs="宋体"/>
                <w:sz w:val="24"/>
              </w:rPr>
            </w:pPr>
            <w:r>
              <w:rPr>
                <w:rFonts w:hint="eastAsia" w:ascii="宋体" w:hAnsi="宋体" w:cs="宋体"/>
                <w:sz w:val="24"/>
              </w:rPr>
              <w:t>责任</w:t>
            </w:r>
          </w:p>
          <w:p w14:paraId="1F5742BA">
            <w:pPr>
              <w:tabs>
                <w:tab w:val="left" w:pos="9765"/>
              </w:tabs>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A9C3158">
            <w:pPr>
              <w:tabs>
                <w:tab w:val="left" w:pos="9765"/>
              </w:tabs>
              <w:spacing w:line="360" w:lineRule="auto"/>
              <w:jc w:val="center"/>
              <w:rPr>
                <w:rFonts w:ascii="宋体" w:hAnsi="宋体" w:cs="宋体"/>
                <w:sz w:val="24"/>
              </w:rPr>
            </w:pPr>
            <w:r>
              <w:rPr>
                <w:rFonts w:hint="eastAsia" w:ascii="宋体" w:hAnsi="宋体" w:cs="宋体"/>
                <w:sz w:val="24"/>
              </w:rPr>
              <w:t>项目经历或主要工作</w:t>
            </w:r>
          </w:p>
          <w:p w14:paraId="7F143B5C">
            <w:pPr>
              <w:tabs>
                <w:tab w:val="left" w:pos="9765"/>
              </w:tabs>
              <w:spacing w:line="360" w:lineRule="auto"/>
              <w:jc w:val="center"/>
              <w:rPr>
                <w:rFonts w:ascii="宋体" w:hAnsi="宋体" w:cs="宋体"/>
                <w:sz w:val="24"/>
              </w:rPr>
            </w:pPr>
            <w:r>
              <w:rPr>
                <w:rFonts w:hint="eastAsia" w:ascii="宋体" w:hAnsi="宋体" w:cs="宋体"/>
                <w:sz w:val="24"/>
              </w:rPr>
              <w:t>业绩</w:t>
            </w:r>
          </w:p>
        </w:tc>
      </w:tr>
      <w:tr w14:paraId="5A3A5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7CC897B">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9F576D3">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CCAE00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3ACAAB">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1DC215E">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8738ED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56D1CD7">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09095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3E27793">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F80AC97">
            <w:pPr>
              <w:tabs>
                <w:tab w:val="left" w:pos="9765"/>
              </w:tabs>
              <w:spacing w:line="360" w:lineRule="auto"/>
              <w:rPr>
                <w:rFonts w:ascii="宋体" w:hAnsi="宋体" w:cs="宋体"/>
                <w:sz w:val="24"/>
              </w:rPr>
            </w:pPr>
            <w:r>
              <w:rPr>
                <w:rFonts w:hint="eastAsia" w:ascii="宋体" w:hAnsi="宋体" w:cs="宋体"/>
                <w:sz w:val="24"/>
              </w:rPr>
              <w:t> </w:t>
            </w:r>
          </w:p>
        </w:tc>
      </w:tr>
      <w:tr w14:paraId="258F8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4CD5F3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6F1FD09">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E89ACAD">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E9B79C">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BB90974">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F38433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4564C60">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B1A4E3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F8C500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3326D66">
            <w:pPr>
              <w:tabs>
                <w:tab w:val="left" w:pos="9765"/>
              </w:tabs>
              <w:spacing w:line="360" w:lineRule="auto"/>
              <w:rPr>
                <w:rFonts w:ascii="宋体" w:hAnsi="宋体" w:cs="宋体"/>
                <w:sz w:val="24"/>
              </w:rPr>
            </w:pPr>
            <w:r>
              <w:rPr>
                <w:rFonts w:hint="eastAsia" w:ascii="宋体" w:hAnsi="宋体" w:cs="宋体"/>
                <w:sz w:val="24"/>
              </w:rPr>
              <w:t> </w:t>
            </w:r>
          </w:p>
        </w:tc>
      </w:tr>
      <w:tr w14:paraId="55BB39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E315662">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B953AB4">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772A61E">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07743E1">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3A647DD">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714A8BE">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CEE24FE">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5A536A9">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014B56D">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39B37DC">
            <w:pPr>
              <w:tabs>
                <w:tab w:val="left" w:pos="9765"/>
              </w:tabs>
              <w:spacing w:line="360" w:lineRule="auto"/>
              <w:rPr>
                <w:rFonts w:ascii="宋体" w:hAnsi="宋体" w:cs="宋体"/>
                <w:sz w:val="24"/>
              </w:rPr>
            </w:pPr>
          </w:p>
        </w:tc>
      </w:tr>
      <w:tr w14:paraId="572A40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15755B3">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D3F30E5">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087E845">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EF68651">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DC03A68">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77D0803">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74EFDA">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B15A13A">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CABC96">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DB8A765">
            <w:pPr>
              <w:tabs>
                <w:tab w:val="left" w:pos="9765"/>
              </w:tabs>
              <w:spacing w:line="360" w:lineRule="auto"/>
              <w:rPr>
                <w:rFonts w:ascii="宋体" w:hAnsi="宋体" w:cs="宋体"/>
                <w:sz w:val="24"/>
              </w:rPr>
            </w:pPr>
          </w:p>
        </w:tc>
      </w:tr>
      <w:tr w14:paraId="4D76B9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2E3ED6C6">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30D89C8">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6C5DE4B">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7C0FA81">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1E8724F">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6797365">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5F23B02">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BC83FFD">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8C6DA73">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37991EF">
            <w:pPr>
              <w:tabs>
                <w:tab w:val="left" w:pos="9765"/>
              </w:tabs>
              <w:spacing w:line="360" w:lineRule="auto"/>
              <w:rPr>
                <w:rFonts w:ascii="宋体" w:hAnsi="宋体" w:cs="宋体"/>
                <w:sz w:val="24"/>
              </w:rPr>
            </w:pPr>
          </w:p>
        </w:tc>
      </w:tr>
      <w:tr w14:paraId="3FB00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3A0863D">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5CD8112">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AAE1647">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9B8EE69">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AF13DC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F2530C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F5B0A9A">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92B2324">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871590">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D3A8F5B">
            <w:pPr>
              <w:tabs>
                <w:tab w:val="left" w:pos="9765"/>
              </w:tabs>
              <w:spacing w:line="360" w:lineRule="auto"/>
              <w:rPr>
                <w:rFonts w:ascii="宋体" w:hAnsi="宋体" w:cs="宋体"/>
                <w:sz w:val="24"/>
              </w:rPr>
            </w:pPr>
            <w:r>
              <w:rPr>
                <w:rFonts w:hint="eastAsia" w:ascii="宋体" w:hAnsi="宋体" w:cs="宋体"/>
                <w:sz w:val="24"/>
              </w:rPr>
              <w:t> </w:t>
            </w:r>
          </w:p>
        </w:tc>
      </w:tr>
    </w:tbl>
    <w:p w14:paraId="51D6240D">
      <w:pPr>
        <w:tabs>
          <w:tab w:val="left" w:pos="9765"/>
        </w:tabs>
        <w:spacing w:line="360" w:lineRule="auto"/>
        <w:rPr>
          <w:rFonts w:ascii="宋体" w:hAnsi="宋体" w:cs="宋体"/>
          <w:b/>
          <w:sz w:val="24"/>
          <w:lang w:val="zh-CN"/>
        </w:rPr>
      </w:pPr>
    </w:p>
    <w:p w14:paraId="52D0555C">
      <w:pPr>
        <w:spacing w:line="360" w:lineRule="auto"/>
        <w:rPr>
          <w:rFonts w:ascii="宋体" w:hAnsi="宋体"/>
          <w:sz w:val="24"/>
        </w:rPr>
      </w:pPr>
    </w:p>
    <w:p w14:paraId="3AFFBAB8">
      <w:pPr>
        <w:spacing w:before="25" w:after="25" w:line="360" w:lineRule="auto"/>
        <w:ind w:firstLine="4320"/>
        <w:rPr>
          <w:rFonts w:ascii="宋体" w:hAnsi="宋体" w:cs="黑体"/>
          <w:bCs/>
          <w:sz w:val="24"/>
        </w:rPr>
      </w:pPr>
      <w:bookmarkStart w:id="550" w:name="_Hlk149916855"/>
      <w:r>
        <w:rPr>
          <w:rFonts w:hint="eastAsia" w:ascii="宋体" w:hAnsi="宋体" w:cs="黑体"/>
          <w:bCs/>
          <w:sz w:val="24"/>
        </w:rPr>
        <w:t>供应商名称：（加盖CA电子公章）</w:t>
      </w:r>
      <w:bookmarkEnd w:id="550"/>
    </w:p>
    <w:p w14:paraId="4A510F36">
      <w:pPr>
        <w:spacing w:before="25" w:after="25" w:line="360" w:lineRule="auto"/>
        <w:ind w:firstLine="4320"/>
        <w:rPr>
          <w:rFonts w:ascii="宋体" w:hAnsi="宋体" w:cs="黑体"/>
          <w:bCs/>
          <w:sz w:val="24"/>
        </w:rPr>
      </w:pPr>
      <w:r>
        <w:rPr>
          <w:rFonts w:ascii="宋体" w:hAnsi="宋体" w:cs="黑体"/>
          <w:bCs/>
          <w:sz w:val="24"/>
        </w:rPr>
        <w:t xml:space="preserve">日期：_____年______月______日   </w:t>
      </w:r>
    </w:p>
    <w:p w14:paraId="373404A0">
      <w:pPr>
        <w:spacing w:line="360" w:lineRule="auto"/>
        <w:rPr>
          <w:rFonts w:ascii="宋体" w:hAnsi="宋体"/>
          <w:sz w:val="24"/>
          <w:szCs w:val="20"/>
        </w:rPr>
      </w:pPr>
      <w:r>
        <w:rPr>
          <w:rFonts w:ascii="宋体" w:hAnsi="宋体"/>
          <w:sz w:val="22"/>
        </w:rPr>
        <w:br w:type="page" w:clear="all"/>
      </w:r>
      <w:bookmarkStart w:id="551" w:name="_Toc288738839"/>
      <w:bookmarkStart w:id="552" w:name="_Toc288738397"/>
    </w:p>
    <w:p w14:paraId="1671F4E5">
      <w:pPr>
        <w:spacing w:line="360" w:lineRule="auto"/>
        <w:jc w:val="center"/>
        <w:rPr>
          <w:rFonts w:ascii="宋体" w:hAnsi="宋体"/>
          <w:b/>
          <w:sz w:val="32"/>
          <w:szCs w:val="32"/>
        </w:rPr>
      </w:pPr>
      <w:r>
        <w:rPr>
          <w:rFonts w:hint="eastAsia" w:ascii="宋体" w:hAnsi="宋体"/>
          <w:b/>
          <w:sz w:val="32"/>
          <w:szCs w:val="32"/>
        </w:rPr>
        <w:t>2、相关业绩案例一览表</w:t>
      </w:r>
      <w:bookmarkEnd w:id="551"/>
      <w:bookmarkEnd w:id="552"/>
    </w:p>
    <w:p w14:paraId="78323F7E">
      <w:pPr>
        <w:spacing w:line="360" w:lineRule="auto"/>
        <w:jc w:val="center"/>
        <w:rPr>
          <w:rFonts w:ascii="宋体" w:hAnsi="宋体"/>
          <w:b/>
          <w:sz w:val="28"/>
          <w:szCs w:val="30"/>
        </w:rPr>
      </w:pPr>
    </w:p>
    <w:p w14:paraId="20EB15D2">
      <w:pPr>
        <w:spacing w:line="360" w:lineRule="auto"/>
        <w:ind w:firstLine="480"/>
        <w:rPr>
          <w:rFonts w:ascii="宋体" w:hAnsi="宋体" w:cs="宋体"/>
          <w:sz w:val="24"/>
        </w:rPr>
      </w:pPr>
      <w:r>
        <w:rPr>
          <w:rFonts w:hint="eastAsia" w:ascii="宋体" w:hAnsi="宋体" w:cs="宋体"/>
          <w:sz w:val="24"/>
        </w:rPr>
        <w:t>项目编号：</w:t>
      </w:r>
    </w:p>
    <w:tbl>
      <w:tblPr>
        <w:tblStyle w:val="4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9DD278B">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C9F9033">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0BF2A9A">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8A05CCD">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E79E34D">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DBF723F">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FD466B9">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项目甲方联系电话</w:t>
            </w:r>
          </w:p>
        </w:tc>
      </w:tr>
      <w:tr w14:paraId="379994E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40EC2B67">
            <w:pPr>
              <w:tabs>
                <w:tab w:val="left" w:pos="9765"/>
              </w:tabs>
              <w:spacing w:line="360" w:lineRule="auto"/>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C70C2F4">
            <w:pPr>
              <w:tabs>
                <w:tab w:val="left" w:pos="9765"/>
              </w:tabs>
              <w:spacing w:line="360" w:lineRule="auto"/>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13BFB93">
            <w:pPr>
              <w:tabs>
                <w:tab w:val="left" w:pos="9765"/>
              </w:tabs>
              <w:spacing w:line="360" w:lineRule="auto"/>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7481286">
            <w:pPr>
              <w:tabs>
                <w:tab w:val="left" w:pos="9765"/>
              </w:tabs>
              <w:spacing w:line="360" w:lineRule="auto"/>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95D26C2">
            <w:pPr>
              <w:tabs>
                <w:tab w:val="left" w:pos="9765"/>
              </w:tabs>
              <w:spacing w:line="360" w:lineRule="auto"/>
              <w:ind w:hanging="523"/>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3568F99">
            <w:pPr>
              <w:tabs>
                <w:tab w:val="left" w:pos="9765"/>
              </w:tabs>
              <w:spacing w:line="360" w:lineRule="auto"/>
              <w:ind w:hanging="523"/>
              <w:jc w:val="center"/>
              <w:rPr>
                <w:rFonts w:ascii="宋体" w:hAnsi="宋体" w:cs="宋体"/>
                <w:sz w:val="24"/>
              </w:rPr>
            </w:pPr>
          </w:p>
        </w:tc>
      </w:tr>
      <w:tr w14:paraId="58FAF8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98CEE27">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4128EB4">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6289CD3">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4D468A7">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68A66C5">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7F16D195">
            <w:pPr>
              <w:tabs>
                <w:tab w:val="left" w:pos="9765"/>
              </w:tabs>
              <w:spacing w:line="360" w:lineRule="auto"/>
              <w:rPr>
                <w:rFonts w:ascii="宋体" w:hAnsi="宋体" w:cs="宋体"/>
                <w:sz w:val="24"/>
              </w:rPr>
            </w:pPr>
          </w:p>
        </w:tc>
      </w:tr>
      <w:tr w14:paraId="347980E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5B1E816">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ACFE0C4">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9C553E8">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A89C314">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318253A3">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6E71D445">
            <w:pPr>
              <w:tabs>
                <w:tab w:val="left" w:pos="9765"/>
              </w:tabs>
              <w:spacing w:line="360" w:lineRule="auto"/>
              <w:rPr>
                <w:rFonts w:ascii="宋体" w:hAnsi="宋体" w:cs="宋体"/>
                <w:sz w:val="24"/>
              </w:rPr>
            </w:pPr>
          </w:p>
        </w:tc>
      </w:tr>
      <w:tr w14:paraId="4440018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F07215E">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B7BA591">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5308310">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B9744BA">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2477BB7">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5BE69A4">
            <w:pPr>
              <w:tabs>
                <w:tab w:val="left" w:pos="9765"/>
              </w:tabs>
              <w:spacing w:line="360" w:lineRule="auto"/>
              <w:rPr>
                <w:rFonts w:ascii="宋体" w:hAnsi="宋体" w:cs="宋体"/>
                <w:sz w:val="24"/>
              </w:rPr>
            </w:pPr>
          </w:p>
        </w:tc>
      </w:tr>
      <w:tr w14:paraId="714DEBC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ED6D2AC">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56A7C23">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BE15C4D">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5727449">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950B15A">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E73909E">
            <w:pPr>
              <w:tabs>
                <w:tab w:val="left" w:pos="9765"/>
              </w:tabs>
              <w:spacing w:line="360" w:lineRule="auto"/>
              <w:rPr>
                <w:rFonts w:ascii="宋体" w:hAnsi="宋体" w:cs="宋体"/>
                <w:sz w:val="24"/>
              </w:rPr>
            </w:pPr>
          </w:p>
        </w:tc>
      </w:tr>
      <w:tr w14:paraId="755F104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5A8F8F91">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2D5FF50">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F996750">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C1CDA5E">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E5B5BFA">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9AE69E9">
            <w:pPr>
              <w:tabs>
                <w:tab w:val="left" w:pos="9765"/>
              </w:tabs>
              <w:spacing w:line="360" w:lineRule="auto"/>
              <w:rPr>
                <w:rFonts w:ascii="宋体" w:hAnsi="宋体" w:cs="宋体"/>
                <w:sz w:val="24"/>
              </w:rPr>
            </w:pPr>
          </w:p>
        </w:tc>
      </w:tr>
      <w:tr w14:paraId="531E89B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EA36677">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39EBC76">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8415E26">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ABA1740">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79B1A0EB">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1B8D0E2">
            <w:pPr>
              <w:tabs>
                <w:tab w:val="left" w:pos="9765"/>
              </w:tabs>
              <w:spacing w:line="360" w:lineRule="auto"/>
              <w:rPr>
                <w:rFonts w:ascii="宋体" w:hAnsi="宋体" w:cs="宋体"/>
                <w:sz w:val="24"/>
              </w:rPr>
            </w:pPr>
          </w:p>
        </w:tc>
      </w:tr>
      <w:tr w14:paraId="57A53B8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685F160">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72C75C1">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20C102FC">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739A755">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2DE7E5F">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9D9DE20">
            <w:pPr>
              <w:tabs>
                <w:tab w:val="left" w:pos="9765"/>
              </w:tabs>
              <w:spacing w:line="360" w:lineRule="auto"/>
              <w:rPr>
                <w:rFonts w:ascii="宋体" w:hAnsi="宋体" w:cs="宋体"/>
                <w:sz w:val="24"/>
              </w:rPr>
            </w:pPr>
          </w:p>
        </w:tc>
      </w:tr>
      <w:tr w14:paraId="510C0DD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E13ADC7">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0C15534">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328AC1C">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A3884E4">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70A2571B">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48A9033">
            <w:pPr>
              <w:tabs>
                <w:tab w:val="left" w:pos="9765"/>
              </w:tabs>
              <w:spacing w:line="360" w:lineRule="auto"/>
              <w:rPr>
                <w:rFonts w:ascii="宋体" w:hAnsi="宋体" w:cs="宋体"/>
                <w:sz w:val="24"/>
              </w:rPr>
            </w:pPr>
          </w:p>
        </w:tc>
      </w:tr>
    </w:tbl>
    <w:p w14:paraId="4F24974D">
      <w:pPr>
        <w:tabs>
          <w:tab w:val="left" w:pos="9765"/>
        </w:tabs>
        <w:spacing w:line="360" w:lineRule="auto"/>
        <w:rPr>
          <w:rFonts w:ascii="宋体" w:hAnsi="宋体" w:cs="宋体"/>
          <w:sz w:val="24"/>
          <w:lang w:val="zh-CN"/>
        </w:rPr>
      </w:pPr>
    </w:p>
    <w:p w14:paraId="5BB020C4">
      <w:pPr>
        <w:spacing w:line="360" w:lineRule="auto"/>
        <w:rPr>
          <w:rFonts w:ascii="宋体" w:hAnsi="宋体" w:cs="宋体"/>
          <w:sz w:val="24"/>
        </w:rPr>
      </w:pPr>
    </w:p>
    <w:p w14:paraId="5D932FBF">
      <w:pPr>
        <w:spacing w:before="25" w:after="25" w:line="360" w:lineRule="auto"/>
        <w:ind w:firstLine="4320"/>
        <w:rPr>
          <w:rFonts w:ascii="宋体" w:hAnsi="宋体" w:cs="黑体"/>
          <w:bCs/>
          <w:sz w:val="24"/>
        </w:rPr>
      </w:pPr>
      <w:r>
        <w:rPr>
          <w:rFonts w:hint="eastAsia" w:ascii="宋体" w:hAnsi="宋体" w:cs="黑体"/>
          <w:bCs/>
          <w:sz w:val="24"/>
        </w:rPr>
        <w:t>供应商名称：（加盖CA电子公章）</w:t>
      </w:r>
    </w:p>
    <w:p w14:paraId="054C8D89">
      <w:pPr>
        <w:spacing w:before="25" w:after="25" w:line="360" w:lineRule="auto"/>
        <w:ind w:firstLine="4320"/>
        <w:rPr>
          <w:rFonts w:ascii="宋体" w:hAnsi="宋体"/>
          <w:sz w:val="24"/>
          <w:szCs w:val="20"/>
        </w:rPr>
      </w:pPr>
      <w:r>
        <w:rPr>
          <w:rFonts w:ascii="宋体" w:hAnsi="宋体" w:cs="黑体"/>
          <w:bCs/>
          <w:sz w:val="24"/>
        </w:rPr>
        <w:t xml:space="preserve">日期：_____年______月______日 </w:t>
      </w:r>
    </w:p>
    <w:p w14:paraId="59DC0B3E">
      <w:pPr>
        <w:widowControl/>
        <w:spacing w:line="360" w:lineRule="auto"/>
        <w:jc w:val="center"/>
        <w:rPr>
          <w:rFonts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3、关于磋商文件的询问内容</w:t>
      </w:r>
    </w:p>
    <w:p w14:paraId="43B2DDCF">
      <w:pPr>
        <w:widowControl/>
        <w:spacing w:line="360" w:lineRule="auto"/>
        <w:jc w:val="left"/>
        <w:rPr>
          <w:rFonts w:ascii="宋体" w:hAnsi="宋体"/>
          <w:sz w:val="24"/>
        </w:rPr>
      </w:pPr>
    </w:p>
    <w:p w14:paraId="6EF37731">
      <w:pPr>
        <w:widowControl/>
        <w:spacing w:line="360" w:lineRule="auto"/>
        <w:jc w:val="left"/>
        <w:rPr>
          <w:rFonts w:ascii="宋体" w:hAnsi="宋体"/>
          <w:sz w:val="24"/>
          <w:u w:val="single"/>
        </w:rPr>
      </w:pPr>
      <w:r>
        <w:rPr>
          <w:rFonts w:hint="eastAsia" w:ascii="宋体" w:hAnsi="宋体"/>
          <w:sz w:val="24"/>
        </w:rPr>
        <w:t>项目名称：</w:t>
      </w:r>
    </w:p>
    <w:p w14:paraId="394148CE">
      <w:pPr>
        <w:widowControl/>
        <w:spacing w:line="360" w:lineRule="auto"/>
        <w:jc w:val="left"/>
        <w:rPr>
          <w:rFonts w:ascii="宋体" w:hAnsi="宋体"/>
          <w:sz w:val="24"/>
        </w:rPr>
      </w:pPr>
      <w:r>
        <w:rPr>
          <w:rFonts w:hint="eastAsia" w:ascii="宋体" w:hAnsi="宋体"/>
          <w:sz w:val="24"/>
        </w:rPr>
        <w:t>采购编号：</w:t>
      </w:r>
    </w:p>
    <w:p w14:paraId="17CE986C">
      <w:pPr>
        <w:widowControl/>
        <w:spacing w:line="360" w:lineRule="auto"/>
        <w:jc w:val="left"/>
        <w:rPr>
          <w:rFonts w:ascii="宋体" w:hAnsi="宋体"/>
          <w:sz w:val="24"/>
        </w:rPr>
      </w:pPr>
      <w:r>
        <w:rPr>
          <w:rFonts w:hint="eastAsia" w:ascii="宋体" w:hAnsi="宋体"/>
          <w:sz w:val="24"/>
        </w:rPr>
        <w:t>内容：</w:t>
      </w:r>
    </w:p>
    <w:p w14:paraId="03236006">
      <w:pPr>
        <w:widowControl/>
        <w:spacing w:line="360" w:lineRule="auto"/>
        <w:jc w:val="left"/>
        <w:rPr>
          <w:rFonts w:ascii="宋体" w:hAnsi="宋体"/>
          <w:b/>
          <w:sz w:val="24"/>
          <w:u w:val="single"/>
        </w:rPr>
      </w:pPr>
    </w:p>
    <w:p w14:paraId="73354A0B">
      <w:pPr>
        <w:widowControl/>
        <w:spacing w:line="360" w:lineRule="auto"/>
        <w:jc w:val="left"/>
        <w:rPr>
          <w:rFonts w:ascii="宋体" w:hAnsi="宋体"/>
          <w:b/>
          <w:sz w:val="24"/>
          <w:u w:val="single"/>
        </w:rPr>
      </w:pPr>
    </w:p>
    <w:p w14:paraId="0B4D9270">
      <w:pPr>
        <w:widowControl/>
        <w:spacing w:line="360" w:lineRule="auto"/>
        <w:jc w:val="left"/>
        <w:rPr>
          <w:rFonts w:ascii="宋体" w:hAnsi="宋体"/>
          <w:b/>
          <w:sz w:val="24"/>
          <w:u w:val="single"/>
        </w:rPr>
      </w:pPr>
    </w:p>
    <w:p w14:paraId="7149D238">
      <w:pPr>
        <w:spacing w:line="360" w:lineRule="auto"/>
        <w:rPr>
          <w:rFonts w:ascii="宋体" w:hAnsi="宋体"/>
          <w:sz w:val="24"/>
        </w:rPr>
      </w:pPr>
      <w:r>
        <w:rPr>
          <w:rFonts w:hint="eastAsia" w:ascii="宋体" w:hAnsi="宋体"/>
          <w:sz w:val="24"/>
        </w:rPr>
        <w:t>被授权人姓名：</w:t>
      </w:r>
    </w:p>
    <w:p w14:paraId="73AA132C">
      <w:pPr>
        <w:tabs>
          <w:tab w:val="left" w:pos="360"/>
        </w:tabs>
        <w:spacing w:line="360" w:lineRule="auto"/>
        <w:rPr>
          <w:rFonts w:ascii="宋体" w:hAnsi="宋体"/>
          <w:sz w:val="24"/>
          <w:u w:val="single"/>
        </w:rPr>
      </w:pPr>
      <w:r>
        <w:rPr>
          <w:rFonts w:hint="eastAsia" w:ascii="宋体" w:hAnsi="宋体"/>
          <w:sz w:val="24"/>
        </w:rPr>
        <w:t>被授权人身份证号码：</w:t>
      </w:r>
    </w:p>
    <w:p w14:paraId="60C6EAC9">
      <w:pPr>
        <w:tabs>
          <w:tab w:val="left" w:pos="360"/>
        </w:tabs>
        <w:spacing w:line="360" w:lineRule="auto"/>
        <w:rPr>
          <w:rFonts w:ascii="宋体" w:hAnsi="宋体"/>
          <w:sz w:val="24"/>
          <w:u w:val="single"/>
        </w:rPr>
      </w:pPr>
      <w:r>
        <w:rPr>
          <w:rFonts w:hint="eastAsia" w:ascii="宋体" w:hAnsi="宋体"/>
          <w:sz w:val="24"/>
        </w:rPr>
        <w:t>被授权人联系电话：（手机）</w:t>
      </w:r>
    </w:p>
    <w:p w14:paraId="7788B7A9">
      <w:pPr>
        <w:pStyle w:val="337"/>
        <w:spacing w:line="360" w:lineRule="auto"/>
        <w:rPr>
          <w:rFonts w:ascii="宋体" w:hAnsi="宋体"/>
          <w:color w:val="auto"/>
        </w:rPr>
      </w:pPr>
    </w:p>
    <w:p w14:paraId="26CE0465">
      <w:pPr>
        <w:pStyle w:val="337"/>
        <w:spacing w:line="360" w:lineRule="auto"/>
        <w:rPr>
          <w:rFonts w:ascii="宋体" w:hAnsi="宋体"/>
          <w:color w:val="auto"/>
        </w:rPr>
      </w:pPr>
    </w:p>
    <w:p w14:paraId="7E925F53">
      <w:pPr>
        <w:pStyle w:val="337"/>
        <w:spacing w:line="360" w:lineRule="auto"/>
        <w:rPr>
          <w:rFonts w:ascii="宋体" w:hAnsi="宋体"/>
          <w:color w:val="auto"/>
        </w:rPr>
      </w:pPr>
    </w:p>
    <w:p w14:paraId="137C5FB1">
      <w:pPr>
        <w:pStyle w:val="337"/>
        <w:spacing w:line="360" w:lineRule="auto"/>
        <w:rPr>
          <w:rFonts w:ascii="宋体" w:hAnsi="宋体"/>
          <w:color w:val="auto"/>
        </w:rPr>
      </w:pPr>
    </w:p>
    <w:p w14:paraId="1B5F4354">
      <w:pPr>
        <w:widowControl/>
        <w:spacing w:line="360" w:lineRule="auto"/>
        <w:jc w:val="left"/>
        <w:rPr>
          <w:rFonts w:ascii="宋体" w:hAnsi="宋体"/>
          <w:b/>
          <w:sz w:val="24"/>
          <w:u w:val="single"/>
        </w:rPr>
      </w:pPr>
    </w:p>
    <w:p w14:paraId="48FDFC1E">
      <w:pPr>
        <w:widowControl/>
        <w:spacing w:line="360" w:lineRule="auto"/>
        <w:ind w:left="3360" w:firstLine="960"/>
        <w:jc w:val="left"/>
        <w:rPr>
          <w:rFonts w:ascii="宋体" w:hAnsi="宋体" w:cs="楷体"/>
          <w:sz w:val="24"/>
        </w:rPr>
      </w:pPr>
      <w:r>
        <w:rPr>
          <w:rFonts w:hint="eastAsia" w:ascii="宋体" w:hAnsi="宋体"/>
          <w:bCs/>
          <w:sz w:val="24"/>
        </w:rPr>
        <w:t>供应商名称：</w:t>
      </w:r>
      <w:r>
        <w:rPr>
          <w:rFonts w:hint="eastAsia" w:ascii="宋体" w:hAnsi="宋体" w:cs="楷体"/>
          <w:sz w:val="24"/>
        </w:rPr>
        <w:t>（加盖公章）</w:t>
      </w:r>
    </w:p>
    <w:p w14:paraId="00FBA774">
      <w:pPr>
        <w:widowControl/>
        <w:spacing w:line="360" w:lineRule="auto"/>
        <w:ind w:left="3360" w:firstLine="420"/>
        <w:jc w:val="left"/>
        <w:rPr>
          <w:rFonts w:ascii="宋体" w:hAnsi="宋体"/>
          <w:sz w:val="24"/>
        </w:rPr>
      </w:pPr>
      <w:r>
        <w:rPr>
          <w:rFonts w:hint="eastAsia" w:ascii="宋体" w:hAnsi="宋体"/>
          <w:sz w:val="24"/>
        </w:rPr>
        <w:t>法定代表人或被授权人（签名或盖章）：</w:t>
      </w:r>
    </w:p>
    <w:p w14:paraId="14739A5F">
      <w:pPr>
        <w:widowControl/>
        <w:spacing w:line="360" w:lineRule="auto"/>
        <w:ind w:firstLine="4800"/>
        <w:jc w:val="left"/>
        <w:rPr>
          <w:rFonts w:ascii="宋体" w:hAnsi="宋体"/>
          <w:sz w:val="20"/>
          <w:szCs w:val="20"/>
        </w:rPr>
      </w:pPr>
      <w:r>
        <w:rPr>
          <w:rFonts w:hint="eastAsia" w:ascii="宋体" w:hAnsi="宋体"/>
          <w:sz w:val="24"/>
        </w:rPr>
        <w:t>时间：    年   月  日</w:t>
      </w:r>
    </w:p>
    <w:sectPr>
      <w:headerReference r:id="rId10" w:type="first"/>
      <w:footerReference r:id="rId12" w:type="first"/>
      <w:headerReference r:id="rId8" w:type="default"/>
      <w:headerReference r:id="rId9" w:type="even"/>
      <w:footerReference r:id="rId11" w:type="even"/>
      <w:pgSz w:w="11905"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00"/>
    <w:family w:val="auto"/>
    <w:pitch w:val="default"/>
    <w:sig w:usb0="00000000"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微软雅黑"/>
    <w:panose1 w:val="020B0502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Batang">
    <w:altName w:val="Malgun Gothic"/>
    <w:panose1 w:val="02030600000101010101"/>
    <w:charset w:val="81"/>
    <w:family w:val="auto"/>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00"/>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Kingsoft U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D03B8">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38</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1D7BC">
    <w:pPr>
      <w:pStyle w:val="29"/>
      <w:jc w:val="center"/>
    </w:pPr>
    <w:r>
      <w:fldChar w:fldCharType="begin"/>
    </w:r>
    <w:r>
      <w:instrText xml:space="preserve">PAGE   \* MERGEFORMAT</w:instrText>
    </w:r>
    <w:r>
      <w:fldChar w:fldCharType="separate"/>
    </w:r>
    <w:r>
      <w:rPr>
        <w:lang w:val="zh-CN"/>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29C95">
    <w:pPr>
      <w:spacing w:line="179" w:lineRule="auto"/>
      <w:ind w:left="7670"/>
      <w:rPr>
        <w:rFonts w:ascii="Times New Roman" w:hAnsi="Times New Roman" w:eastAsia="Times New Roman" w:cs="Times New Roman"/>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6453F">
                          <w:pPr>
                            <w:pStyle w:val="2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976453F">
                    <w:pPr>
                      <w:pStyle w:val="2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0CA0E">
    <w:pPr>
      <w:pStyle w:val="29"/>
      <w:framePr w:wrap="around" w:vAnchor="text" w:hAnchor="margin" w:xAlign="right" w:y="1"/>
      <w:rPr>
        <w:rStyle w:val="55"/>
      </w:rPr>
    </w:pPr>
    <w:r>
      <w:rPr>
        <w:rStyle w:val="55"/>
      </w:rPr>
      <w:fldChar w:fldCharType="begin"/>
    </w:r>
    <w:r>
      <w:rPr>
        <w:rStyle w:val="55"/>
      </w:rPr>
      <w:instrText xml:space="preserve">PAGE  </w:instrText>
    </w:r>
    <w:r>
      <w:rPr>
        <w:rStyle w:val="55"/>
      </w:rPr>
      <w:fldChar w:fldCharType="end"/>
    </w:r>
  </w:p>
  <w:p w14:paraId="161DA4F7">
    <w:pPr>
      <w:pStyle w:val="29"/>
      <w:ind w:right="360"/>
    </w:pPr>
  </w:p>
  <w:p w14:paraId="0B0EFB5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60D3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937CA">
    <w:pPr>
      <w:ind w:right="-50"/>
      <w:jc w:val="right"/>
    </w:pPr>
    <w:r>
      <w:t xml:space="preserve">                                   </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5F1AC">
    <w:pPr>
      <w:ind w:right="-50"/>
      <w:jc w:val="right"/>
    </w:pPr>
    <w:r>
      <w:rPr>
        <w:rFonts w:hint="eastAsia"/>
      </w:rPr>
      <w:t xml:space="preserve"> </w:t>
    </w:r>
    <w:r>
      <w:t xml:space="preserve">                              </w:t>
    </w:r>
    <w:r>
      <w:rPr>
        <w:rFonts w:hint="eastAsia"/>
      </w:rPr>
      <w:t>竞争性磋商采购文件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063AB">
    <w:pPr>
      <w:ind w:right="-50"/>
      <w:jc w:val="right"/>
    </w:pPr>
    <w:r>
      <w:t xml:space="preserve">                                     </w:t>
    </w:r>
    <w:r>
      <w:rPr>
        <w:rFonts w:hint="eastAsia"/>
      </w:rPr>
      <w:t>竞争性磋商采购文件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A1FDE">
    <w:pPr>
      <w:pStyle w:val="31"/>
    </w:pPr>
  </w:p>
  <w:p w14:paraId="0C72EE8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B34E1">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381C30"/>
    <w:multiLevelType w:val="singleLevel"/>
    <w:tmpl w:val="BF381C30"/>
    <w:lvl w:ilvl="0" w:tentative="0">
      <w:start w:val="4"/>
      <w:numFmt w:val="chineseCounting"/>
      <w:suff w:val="space"/>
      <w:lvlText w:val="第%1节"/>
      <w:lvlJc w:val="left"/>
      <w:rPr>
        <w:rFonts w:hint="eastAsia"/>
      </w:rPr>
    </w:lvl>
  </w:abstractNum>
  <w:abstractNum w:abstractNumId="1">
    <w:nsid w:val="CA74FF2E"/>
    <w:multiLevelType w:val="singleLevel"/>
    <w:tmpl w:val="CA74FF2E"/>
    <w:lvl w:ilvl="0" w:tentative="0">
      <w:start w:val="2"/>
      <w:numFmt w:val="decimal"/>
      <w:lvlText w:val="%1."/>
      <w:lvlJc w:val="left"/>
      <w:pPr>
        <w:tabs>
          <w:tab w:val="left" w:pos="312"/>
        </w:tabs>
      </w:pPr>
    </w:lvl>
  </w:abstractNum>
  <w:abstractNum w:abstractNumId="2">
    <w:nsid w:val="D7B0D312"/>
    <w:multiLevelType w:val="multilevel"/>
    <w:tmpl w:val="D7B0D312"/>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89CF400"/>
    <w:multiLevelType w:val="multilevel"/>
    <w:tmpl w:val="E89CF400"/>
    <w:lvl w:ilvl="0" w:tentative="0">
      <w:start w:val="1"/>
      <w:numFmt w:val="lowerLetter"/>
      <w:pStyle w:val="34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EB3E3779"/>
    <w:multiLevelType w:val="multilevel"/>
    <w:tmpl w:val="EB3E3779"/>
    <w:lvl w:ilvl="0" w:tentative="0">
      <w:start w:val="1"/>
      <w:numFmt w:val="decimal"/>
      <w:lvlText w:val="%1．"/>
      <w:lvlJc w:val="left"/>
      <w:pPr>
        <w:tabs>
          <w:tab w:val="left" w:pos="768"/>
        </w:tabs>
        <w:ind w:left="768" w:hanging="360"/>
      </w:pPr>
      <w:rPr>
        <w:rFonts w:hint="eastAsia"/>
      </w:rPr>
    </w:lvl>
    <w:lvl w:ilvl="1" w:tentative="0">
      <w:start w:val="1"/>
      <w:numFmt w:val="decimal"/>
      <w:pStyle w:val="29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1EBD069F"/>
    <w:multiLevelType w:val="multilevel"/>
    <w:tmpl w:val="1EBD069F"/>
    <w:lvl w:ilvl="0" w:tentative="0">
      <w:start w:val="1"/>
      <w:numFmt w:val="decimal"/>
      <w:pStyle w:val="368"/>
      <w:lvlText w:val="%1"/>
      <w:lvlJc w:val="left"/>
      <w:pPr>
        <w:ind w:left="680" w:hanging="680"/>
      </w:pPr>
      <w:rPr>
        <w:rFonts w:hint="eastAsia" w:ascii="宋体" w:hAnsi="宋体" w:eastAsia="宋体"/>
      </w:rPr>
    </w:lvl>
    <w:lvl w:ilvl="1" w:tentative="0">
      <w:start w:val="1"/>
      <w:numFmt w:val="decimal"/>
      <w:pStyle w:val="369"/>
      <w:lvlText w:val="%1.%2"/>
      <w:lvlJc w:val="left"/>
      <w:pPr>
        <w:ind w:left="851" w:hanging="851"/>
      </w:pPr>
      <w:rPr>
        <w:rFonts w:hint="eastAsia" w:ascii="宋体" w:hAnsi="宋体" w:eastAsia="宋体"/>
        <w:color w:val="auto"/>
      </w:rPr>
    </w:lvl>
    <w:lvl w:ilvl="2" w:tentative="0">
      <w:start w:val="1"/>
      <w:numFmt w:val="decimal"/>
      <w:pStyle w:val="37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6">
    <w:nsid w:val="228B32EE"/>
    <w:multiLevelType w:val="singleLevel"/>
    <w:tmpl w:val="228B32EE"/>
    <w:lvl w:ilvl="0" w:tentative="0">
      <w:start w:val="1"/>
      <w:numFmt w:val="decimal"/>
      <w:suff w:val="nothing"/>
      <w:lvlText w:val="（%1）"/>
      <w:lvlJc w:val="left"/>
    </w:lvl>
  </w:abstractNum>
  <w:abstractNum w:abstractNumId="7">
    <w:nsid w:val="23B4B19B"/>
    <w:multiLevelType w:val="multilevel"/>
    <w:tmpl w:val="23B4B19B"/>
    <w:lvl w:ilvl="0" w:tentative="0">
      <w:start w:val="1"/>
      <w:numFmt w:val="decimal"/>
      <w:pStyle w:val="312"/>
      <w:lvlText w:val="%1."/>
      <w:lvlJc w:val="left"/>
      <w:pPr>
        <w:tabs>
          <w:tab w:val="left" w:pos="360"/>
        </w:tabs>
        <w:ind w:left="360" w:hanging="36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9A8709"/>
    <w:multiLevelType w:val="multilevel"/>
    <w:tmpl w:val="2A9A8709"/>
    <w:lvl w:ilvl="0" w:tentative="0">
      <w:start w:val="1"/>
      <w:numFmt w:val="decimal"/>
      <w:pStyle w:val="26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E518642"/>
    <w:multiLevelType w:val="multilevel"/>
    <w:tmpl w:val="3E518642"/>
    <w:lvl w:ilvl="0" w:tentative="0">
      <w:start w:val="1"/>
      <w:numFmt w:val="decimal"/>
      <w:pStyle w:val="26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60"/>
      <w:isLgl/>
      <w:suff w:val="nothing"/>
      <w:lvlText w:val="%1.%2　"/>
      <w:lvlJc w:val="left"/>
      <w:pPr>
        <w:ind w:left="-25" w:firstLine="0"/>
      </w:pPr>
      <w:rPr>
        <w:rFonts w:hint="default" w:ascii="Times New Roman" w:hAnsi="Times New Roman" w:eastAsia="宋体"/>
        <w:b/>
        <w:i w:val="0"/>
        <w:color w:val="auto"/>
        <w:spacing w:val="0"/>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9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9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30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31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8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44105D2B"/>
    <w:multiLevelType w:val="multilevel"/>
    <w:tmpl w:val="44105D2B"/>
    <w:lvl w:ilvl="0" w:tentative="0">
      <w:start w:val="1"/>
      <w:numFmt w:val="decimal"/>
      <w:pStyle w:val="26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95B3551"/>
    <w:multiLevelType w:val="multilevel"/>
    <w:tmpl w:val="495B3551"/>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10"/>
  </w:num>
  <w:num w:numId="3">
    <w:abstractNumId w:val="8"/>
  </w:num>
  <w:num w:numId="4">
    <w:abstractNumId w:val="4"/>
  </w:num>
  <w:num w:numId="5">
    <w:abstractNumId w:val="7"/>
  </w:num>
  <w:num w:numId="6">
    <w:abstractNumId w:val="3"/>
  </w:num>
  <w:num w:numId="7">
    <w:abstractNumId w:val="5"/>
  </w:num>
  <w:num w:numId="8">
    <w:abstractNumId w:val="1"/>
  </w:num>
  <w:num w:numId="9">
    <w:abstractNumId w:val="0"/>
  </w:num>
  <w:num w:numId="10">
    <w:abstractNumId w:val="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doNotCompress"/>
  <w:compat>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lMGRkYzMxYWIyMmMyOTM5ZWQ1MTdiNzY5ODVkMmEifQ=="/>
  </w:docVars>
  <w:rsids>
    <w:rsidRoot w:val="00000000"/>
    <w:rsid w:val="009435D8"/>
    <w:rsid w:val="01540800"/>
    <w:rsid w:val="0240433D"/>
    <w:rsid w:val="02600CC2"/>
    <w:rsid w:val="02A3733F"/>
    <w:rsid w:val="035717DD"/>
    <w:rsid w:val="03710F81"/>
    <w:rsid w:val="03E90000"/>
    <w:rsid w:val="066D5740"/>
    <w:rsid w:val="06F816BC"/>
    <w:rsid w:val="076D073B"/>
    <w:rsid w:val="08634558"/>
    <w:rsid w:val="0883294E"/>
    <w:rsid w:val="09F533AF"/>
    <w:rsid w:val="09FE743C"/>
    <w:rsid w:val="0A820893"/>
    <w:rsid w:val="0AFF27C5"/>
    <w:rsid w:val="0CA35F34"/>
    <w:rsid w:val="0D4330C4"/>
    <w:rsid w:val="0D7068D1"/>
    <w:rsid w:val="0DBB49B8"/>
    <w:rsid w:val="0F187335"/>
    <w:rsid w:val="10395618"/>
    <w:rsid w:val="109115FD"/>
    <w:rsid w:val="117D2D56"/>
    <w:rsid w:val="11FB69C4"/>
    <w:rsid w:val="124B075F"/>
    <w:rsid w:val="127566F3"/>
    <w:rsid w:val="12B002D9"/>
    <w:rsid w:val="1349641B"/>
    <w:rsid w:val="142A6AD2"/>
    <w:rsid w:val="185239AA"/>
    <w:rsid w:val="19C66881"/>
    <w:rsid w:val="1B46270F"/>
    <w:rsid w:val="1CA4130E"/>
    <w:rsid w:val="1F101E6B"/>
    <w:rsid w:val="1F4547A6"/>
    <w:rsid w:val="1FE32951"/>
    <w:rsid w:val="229A0B77"/>
    <w:rsid w:val="23E36C38"/>
    <w:rsid w:val="27830026"/>
    <w:rsid w:val="27EE5FAB"/>
    <w:rsid w:val="280D7188"/>
    <w:rsid w:val="28357C43"/>
    <w:rsid w:val="292028B1"/>
    <w:rsid w:val="29AE15E8"/>
    <w:rsid w:val="2A2277D9"/>
    <w:rsid w:val="2B6A7A50"/>
    <w:rsid w:val="2C165C97"/>
    <w:rsid w:val="2D435E35"/>
    <w:rsid w:val="2E96014F"/>
    <w:rsid w:val="2FB91A21"/>
    <w:rsid w:val="30507415"/>
    <w:rsid w:val="3074238F"/>
    <w:rsid w:val="30AE6CCE"/>
    <w:rsid w:val="31F73336"/>
    <w:rsid w:val="3386755B"/>
    <w:rsid w:val="33A67A93"/>
    <w:rsid w:val="34473541"/>
    <w:rsid w:val="34BD11D7"/>
    <w:rsid w:val="34DD39F7"/>
    <w:rsid w:val="35237C46"/>
    <w:rsid w:val="35D408E8"/>
    <w:rsid w:val="36244D76"/>
    <w:rsid w:val="37877FA8"/>
    <w:rsid w:val="37B02C8E"/>
    <w:rsid w:val="391B4F20"/>
    <w:rsid w:val="3C345458"/>
    <w:rsid w:val="3C97266F"/>
    <w:rsid w:val="3D26440A"/>
    <w:rsid w:val="3DF6442A"/>
    <w:rsid w:val="3E226506"/>
    <w:rsid w:val="3F7E2735"/>
    <w:rsid w:val="412D62E7"/>
    <w:rsid w:val="41447AF8"/>
    <w:rsid w:val="41B45373"/>
    <w:rsid w:val="41D56122"/>
    <w:rsid w:val="42F26A6F"/>
    <w:rsid w:val="43E443EC"/>
    <w:rsid w:val="4425157A"/>
    <w:rsid w:val="442A43CC"/>
    <w:rsid w:val="45F7700A"/>
    <w:rsid w:val="47043056"/>
    <w:rsid w:val="4B321198"/>
    <w:rsid w:val="4B693428"/>
    <w:rsid w:val="4BBF11B5"/>
    <w:rsid w:val="4C697D4C"/>
    <w:rsid w:val="4D305161"/>
    <w:rsid w:val="4DA604AE"/>
    <w:rsid w:val="4E8E06E6"/>
    <w:rsid w:val="4FB11D5E"/>
    <w:rsid w:val="503D5991"/>
    <w:rsid w:val="50417BF7"/>
    <w:rsid w:val="51E113A5"/>
    <w:rsid w:val="52037911"/>
    <w:rsid w:val="52DF3E8F"/>
    <w:rsid w:val="547B7726"/>
    <w:rsid w:val="55537303"/>
    <w:rsid w:val="56E31BBA"/>
    <w:rsid w:val="573176EF"/>
    <w:rsid w:val="57A77A16"/>
    <w:rsid w:val="5927572B"/>
    <w:rsid w:val="59567D6F"/>
    <w:rsid w:val="5DF7175D"/>
    <w:rsid w:val="5E2E2486"/>
    <w:rsid w:val="5E6F1144"/>
    <w:rsid w:val="5FDA4330"/>
    <w:rsid w:val="62C4481D"/>
    <w:rsid w:val="64275BA8"/>
    <w:rsid w:val="64D45EBB"/>
    <w:rsid w:val="65CC4B2E"/>
    <w:rsid w:val="670B72C9"/>
    <w:rsid w:val="683C396D"/>
    <w:rsid w:val="686F06C7"/>
    <w:rsid w:val="69183211"/>
    <w:rsid w:val="6D951A3A"/>
    <w:rsid w:val="6F115401"/>
    <w:rsid w:val="701C7B11"/>
    <w:rsid w:val="70F51137"/>
    <w:rsid w:val="71C40984"/>
    <w:rsid w:val="735A3234"/>
    <w:rsid w:val="742968A3"/>
    <w:rsid w:val="743F2690"/>
    <w:rsid w:val="748326BB"/>
    <w:rsid w:val="77390145"/>
    <w:rsid w:val="779001BB"/>
    <w:rsid w:val="7876237C"/>
    <w:rsid w:val="78BF46F3"/>
    <w:rsid w:val="79E71143"/>
    <w:rsid w:val="79EA43B1"/>
    <w:rsid w:val="7AC40DA3"/>
    <w:rsid w:val="7B51539A"/>
    <w:rsid w:val="7B8D4B04"/>
    <w:rsid w:val="7BF753E5"/>
    <w:rsid w:val="7C0E62A5"/>
    <w:rsid w:val="7CD8578F"/>
    <w:rsid w:val="7E2C07AB"/>
    <w:rsid w:val="7E5149DC"/>
    <w:rsid w:val="7FA46602"/>
    <w:rsid w:val="7FE128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99" w:semiHidden="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63"/>
    <w:qFormat/>
    <w:uiPriority w:val="99"/>
    <w:pPr>
      <w:keepNext/>
      <w:keepLines/>
      <w:spacing w:before="240" w:after="120" w:line="300" w:lineRule="auto"/>
      <w:jc w:val="center"/>
      <w:outlineLvl w:val="0"/>
    </w:pPr>
    <w:rPr>
      <w:rFonts w:ascii="宋体"/>
      <w:b/>
      <w:sz w:val="32"/>
      <w:szCs w:val="20"/>
    </w:rPr>
  </w:style>
  <w:style w:type="paragraph" w:styleId="3">
    <w:name w:val="heading 2"/>
    <w:basedOn w:val="1"/>
    <w:next w:val="4"/>
    <w:link w:val="64"/>
    <w:qFormat/>
    <w:uiPriority w:val="99"/>
    <w:pPr>
      <w:keepNext/>
      <w:keepLines/>
      <w:spacing w:before="120" w:line="300" w:lineRule="auto"/>
      <w:jc w:val="center"/>
      <w:outlineLvl w:val="1"/>
    </w:pPr>
    <w:rPr>
      <w:rFonts w:ascii="Arial" w:hAnsi="Arial" w:eastAsia="黑体"/>
      <w:b/>
      <w:sz w:val="30"/>
      <w:szCs w:val="20"/>
    </w:rPr>
  </w:style>
  <w:style w:type="paragraph" w:styleId="5">
    <w:name w:val="heading 3"/>
    <w:basedOn w:val="1"/>
    <w:next w:val="1"/>
    <w:link w:val="66"/>
    <w:qFormat/>
    <w:uiPriority w:val="99"/>
    <w:pPr>
      <w:keepNext/>
      <w:keepLines/>
      <w:spacing w:before="360" w:after="120"/>
      <w:jc w:val="left"/>
      <w:outlineLvl w:val="2"/>
    </w:pPr>
    <w:rPr>
      <w:rFonts w:ascii="宋体"/>
      <w:b/>
      <w:sz w:val="24"/>
      <w:szCs w:val="20"/>
      <w:u w:val="single"/>
    </w:rPr>
  </w:style>
  <w:style w:type="paragraph" w:styleId="6">
    <w:name w:val="heading 4"/>
    <w:basedOn w:val="1"/>
    <w:next w:val="1"/>
    <w:link w:val="67"/>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68"/>
    <w:qFormat/>
    <w:uiPriority w:val="0"/>
    <w:pPr>
      <w:keepNext/>
      <w:keepLines/>
      <w:spacing w:before="280" w:after="290" w:line="376" w:lineRule="atLeast"/>
      <w:outlineLvl w:val="4"/>
    </w:pPr>
    <w:rPr>
      <w:b/>
      <w:sz w:val="28"/>
      <w:szCs w:val="20"/>
    </w:rPr>
  </w:style>
  <w:style w:type="paragraph" w:styleId="8">
    <w:name w:val="heading 6"/>
    <w:basedOn w:val="1"/>
    <w:next w:val="1"/>
    <w:link w:val="69"/>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70"/>
    <w:qFormat/>
    <w:uiPriority w:val="0"/>
    <w:pPr>
      <w:keepNext/>
      <w:keepLines/>
      <w:spacing w:before="240" w:after="64" w:line="320" w:lineRule="atLeast"/>
      <w:outlineLvl w:val="6"/>
    </w:pPr>
    <w:rPr>
      <w:b/>
      <w:sz w:val="24"/>
      <w:szCs w:val="20"/>
    </w:rPr>
  </w:style>
  <w:style w:type="paragraph" w:styleId="10">
    <w:name w:val="heading 8"/>
    <w:basedOn w:val="1"/>
    <w:next w:val="1"/>
    <w:link w:val="71"/>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72"/>
    <w:qFormat/>
    <w:uiPriority w:val="0"/>
    <w:pPr>
      <w:keepNext/>
      <w:keepLines/>
      <w:spacing w:before="240" w:after="64" w:line="320" w:lineRule="atLeast"/>
      <w:outlineLvl w:val="8"/>
    </w:pPr>
    <w:rPr>
      <w:rFonts w:ascii="Arial" w:hAnsi="Arial" w:eastAsia="黑体"/>
      <w:szCs w:val="20"/>
    </w:rPr>
  </w:style>
  <w:style w:type="character" w:default="1" w:styleId="52">
    <w:name w:val="Default Paragraph Font"/>
    <w:unhideWhenUsed/>
    <w:qFormat/>
    <w:uiPriority w:val="1"/>
  </w:style>
  <w:style w:type="table" w:default="1" w:styleId="49">
    <w:name w:val="Normal Table"/>
    <w:unhideWhenUsed/>
    <w:qFormat/>
    <w:uiPriority w:val="99"/>
    <w:tblPr>
      <w:tblCellMar>
        <w:top w:w="0" w:type="dxa"/>
        <w:left w:w="108" w:type="dxa"/>
        <w:bottom w:w="0" w:type="dxa"/>
        <w:right w:w="108" w:type="dxa"/>
      </w:tblCellMar>
    </w:tblPr>
  </w:style>
  <w:style w:type="paragraph" w:styleId="4">
    <w:name w:val="Normal Indent"/>
    <w:basedOn w:val="1"/>
    <w:link w:val="65"/>
    <w:qFormat/>
    <w:uiPriority w:val="0"/>
    <w:pPr>
      <w:ind w:firstLine="420"/>
      <w:jc w:val="left"/>
    </w:pPr>
    <w:rPr>
      <w:rFonts w:ascii="宋体"/>
      <w:sz w:val="24"/>
    </w:rPr>
  </w:style>
  <w:style w:type="paragraph" w:styleId="12">
    <w:name w:val="toc 7"/>
    <w:basedOn w:val="1"/>
    <w:next w:val="1"/>
    <w:qFormat/>
    <w:uiPriority w:val="99"/>
    <w:pPr>
      <w:ind w:left="252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73"/>
    <w:qFormat/>
    <w:uiPriority w:val="0"/>
    <w:pPr>
      <w:shd w:val="clear" w:color="auto" w:fill="000080"/>
    </w:pPr>
  </w:style>
  <w:style w:type="paragraph" w:styleId="15">
    <w:name w:val="annotation text"/>
    <w:basedOn w:val="1"/>
    <w:link w:val="74"/>
    <w:qFormat/>
    <w:uiPriority w:val="0"/>
    <w:pPr>
      <w:jc w:val="left"/>
    </w:pPr>
  </w:style>
  <w:style w:type="paragraph" w:styleId="16">
    <w:name w:val="Body Text 3"/>
    <w:basedOn w:val="1"/>
    <w:link w:val="75"/>
    <w:qFormat/>
    <w:uiPriority w:val="0"/>
    <w:pPr>
      <w:spacing w:after="120"/>
    </w:pPr>
    <w:rPr>
      <w:sz w:val="16"/>
      <w:szCs w:val="16"/>
    </w:rPr>
  </w:style>
  <w:style w:type="paragraph" w:styleId="17">
    <w:name w:val="Body Text"/>
    <w:basedOn w:val="1"/>
    <w:next w:val="1"/>
    <w:link w:val="236"/>
    <w:qFormat/>
    <w:uiPriority w:val="0"/>
    <w:pPr>
      <w:tabs>
        <w:tab w:val="left" w:pos="567"/>
      </w:tabs>
      <w:spacing w:before="120" w:line="22" w:lineRule="atLeast"/>
    </w:pPr>
    <w:rPr>
      <w:rFonts w:ascii="宋体" w:hAnsi="宋体"/>
      <w:sz w:val="24"/>
    </w:rPr>
  </w:style>
  <w:style w:type="paragraph" w:styleId="18">
    <w:name w:val="Body Text Indent"/>
    <w:basedOn w:val="1"/>
    <w:next w:val="1"/>
    <w:link w:val="62"/>
    <w:qFormat/>
    <w:uiPriority w:val="99"/>
    <w:pPr>
      <w:spacing w:line="360" w:lineRule="auto"/>
      <w:ind w:firstLine="570"/>
    </w:pPr>
    <w:rPr>
      <w:sz w:val="24"/>
    </w:rPr>
  </w:style>
  <w:style w:type="paragraph" w:styleId="19">
    <w:name w:val="List 2"/>
    <w:basedOn w:val="1"/>
    <w:qFormat/>
    <w:uiPriority w:val="0"/>
    <w:pPr>
      <w:ind w:left="100" w:hanging="200"/>
    </w:pPr>
  </w:style>
  <w:style w:type="paragraph" w:styleId="20">
    <w:name w:val="Block Text"/>
    <w:basedOn w:val="1"/>
    <w:qFormat/>
    <w:uiPriority w:val="0"/>
    <w:pPr>
      <w:widowControl/>
      <w:ind w:left="480" w:right="-341" w:firstLine="513"/>
    </w:pPr>
    <w:rPr>
      <w:sz w:val="24"/>
      <w:szCs w:val="20"/>
    </w:rPr>
  </w:style>
  <w:style w:type="paragraph" w:styleId="21">
    <w:name w:val="toc 5"/>
    <w:basedOn w:val="1"/>
    <w:next w:val="1"/>
    <w:qFormat/>
    <w:uiPriority w:val="99"/>
    <w:pPr>
      <w:ind w:left="1680"/>
    </w:pPr>
  </w:style>
  <w:style w:type="paragraph" w:styleId="22">
    <w:name w:val="toc 3"/>
    <w:basedOn w:val="1"/>
    <w:next w:val="1"/>
    <w:qFormat/>
    <w:uiPriority w:val="39"/>
    <w:pPr>
      <w:ind w:left="840"/>
    </w:pPr>
  </w:style>
  <w:style w:type="paragraph" w:styleId="23">
    <w:name w:val="Plain Text"/>
    <w:basedOn w:val="1"/>
    <w:link w:val="77"/>
    <w:qFormat/>
    <w:uiPriority w:val="0"/>
    <w:rPr>
      <w:rFonts w:hint="eastAsia" w:ascii="宋体" w:hAnsi="Courier New"/>
      <w:szCs w:val="20"/>
    </w:rPr>
  </w:style>
  <w:style w:type="paragraph" w:styleId="24">
    <w:name w:val="toc 8"/>
    <w:basedOn w:val="1"/>
    <w:next w:val="1"/>
    <w:qFormat/>
    <w:uiPriority w:val="99"/>
    <w:pPr>
      <w:ind w:left="2940"/>
    </w:pPr>
  </w:style>
  <w:style w:type="paragraph" w:styleId="25">
    <w:name w:val="Date"/>
    <w:basedOn w:val="1"/>
    <w:next w:val="1"/>
    <w:link w:val="78"/>
    <w:qFormat/>
    <w:uiPriority w:val="99"/>
    <w:pPr>
      <w:ind w:left="100"/>
    </w:pPr>
    <w:rPr>
      <w:rFonts w:ascii="仿宋_GB2312" w:hAnsi="宋体" w:eastAsia="仿宋_GB2312"/>
      <w:color w:val="000000"/>
      <w:sz w:val="24"/>
    </w:rPr>
  </w:style>
  <w:style w:type="paragraph" w:styleId="26">
    <w:name w:val="Body Text Indent 2"/>
    <w:basedOn w:val="1"/>
    <w:link w:val="79"/>
    <w:qFormat/>
    <w:uiPriority w:val="0"/>
    <w:pPr>
      <w:ind w:firstLine="480"/>
    </w:pPr>
    <w:rPr>
      <w:rFonts w:ascii="仿宋_GB2312" w:eastAsia="仿宋_GB2312"/>
      <w:sz w:val="24"/>
    </w:rPr>
  </w:style>
  <w:style w:type="paragraph" w:styleId="27">
    <w:name w:val="endnote text"/>
    <w:basedOn w:val="1"/>
    <w:link w:val="80"/>
    <w:unhideWhenUsed/>
    <w:qFormat/>
    <w:uiPriority w:val="99"/>
    <w:pPr>
      <w:spacing w:after="0" w:line="240" w:lineRule="auto"/>
    </w:pPr>
    <w:rPr>
      <w:sz w:val="20"/>
    </w:rPr>
  </w:style>
  <w:style w:type="paragraph" w:styleId="28">
    <w:name w:val="Balloon Text"/>
    <w:basedOn w:val="1"/>
    <w:link w:val="81"/>
    <w:qFormat/>
    <w:uiPriority w:val="99"/>
    <w:rPr>
      <w:sz w:val="18"/>
      <w:szCs w:val="18"/>
    </w:rPr>
  </w:style>
  <w:style w:type="paragraph" w:styleId="29">
    <w:name w:val="footer"/>
    <w:basedOn w:val="1"/>
    <w:link w:val="82"/>
    <w:qFormat/>
    <w:uiPriority w:val="99"/>
    <w:pPr>
      <w:tabs>
        <w:tab w:val="center" w:pos="4153"/>
        <w:tab w:val="right" w:pos="8306"/>
      </w:tabs>
      <w:jc w:val="left"/>
    </w:pPr>
    <w:rPr>
      <w:rFonts w:ascii="宋体"/>
      <w:sz w:val="18"/>
      <w:szCs w:val="20"/>
    </w:rPr>
  </w:style>
  <w:style w:type="paragraph" w:styleId="30">
    <w:name w:val="envelope return"/>
    <w:basedOn w:val="1"/>
    <w:qFormat/>
    <w:uiPriority w:val="0"/>
    <w:rPr>
      <w:rFonts w:ascii="Arial" w:hAnsi="Arial"/>
    </w:rPr>
  </w:style>
  <w:style w:type="paragraph" w:styleId="31">
    <w:name w:val="header"/>
    <w:basedOn w:val="1"/>
    <w:link w:val="83"/>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99"/>
    <w:pPr>
      <w:ind w:left="1260"/>
    </w:pPr>
  </w:style>
  <w:style w:type="paragraph" w:styleId="34">
    <w:name w:val="Subtitle"/>
    <w:basedOn w:val="1"/>
    <w:next w:val="1"/>
    <w:link w:val="84"/>
    <w:qFormat/>
    <w:uiPriority w:val="11"/>
    <w:pPr>
      <w:spacing w:before="200" w:after="200"/>
    </w:pPr>
    <w:rPr>
      <w:sz w:val="24"/>
      <w:szCs w:val="24"/>
    </w:rPr>
  </w:style>
  <w:style w:type="paragraph" w:styleId="35">
    <w:name w:val="footnote text"/>
    <w:basedOn w:val="1"/>
    <w:link w:val="85"/>
    <w:unhideWhenUsed/>
    <w:qFormat/>
    <w:uiPriority w:val="99"/>
    <w:pPr>
      <w:spacing w:after="40" w:line="240" w:lineRule="auto"/>
    </w:pPr>
    <w:rPr>
      <w:sz w:val="18"/>
    </w:rPr>
  </w:style>
  <w:style w:type="paragraph" w:styleId="36">
    <w:name w:val="toc 6"/>
    <w:basedOn w:val="1"/>
    <w:next w:val="1"/>
    <w:qFormat/>
    <w:uiPriority w:val="99"/>
    <w:pPr>
      <w:ind w:left="2100"/>
    </w:pPr>
  </w:style>
  <w:style w:type="paragraph" w:styleId="37">
    <w:name w:val="Body Text Indent 3"/>
    <w:basedOn w:val="1"/>
    <w:link w:val="86"/>
    <w:qFormat/>
    <w:uiPriority w:val="0"/>
    <w:pPr>
      <w:spacing w:before="120" w:line="22" w:lineRule="atLeast"/>
      <w:ind w:left="720" w:firstLine="480"/>
      <w:jc w:val="left"/>
    </w:pPr>
    <w:rPr>
      <w:rFonts w:ascii="宋体"/>
      <w:sz w:val="24"/>
      <w:szCs w:val="20"/>
    </w:rPr>
  </w:style>
  <w:style w:type="paragraph" w:styleId="38">
    <w:name w:val="table of figures"/>
    <w:basedOn w:val="1"/>
    <w:next w:val="1"/>
    <w:unhideWhenUsed/>
    <w:qFormat/>
    <w:uiPriority w:val="99"/>
    <w:pPr>
      <w:spacing w:after="0" w:afterAutospacing="0"/>
    </w:pPr>
  </w:style>
  <w:style w:type="paragraph" w:styleId="39">
    <w:name w:val="toc 2"/>
    <w:basedOn w:val="1"/>
    <w:next w:val="1"/>
    <w:qFormat/>
    <w:uiPriority w:val="39"/>
    <w:pPr>
      <w:tabs>
        <w:tab w:val="right" w:leader="dot" w:pos="8937"/>
      </w:tabs>
      <w:spacing w:line="312" w:lineRule="auto"/>
      <w:ind w:left="420"/>
    </w:pPr>
  </w:style>
  <w:style w:type="paragraph" w:styleId="40">
    <w:name w:val="toc 9"/>
    <w:basedOn w:val="1"/>
    <w:next w:val="1"/>
    <w:qFormat/>
    <w:uiPriority w:val="99"/>
    <w:pPr>
      <w:ind w:left="3360"/>
    </w:pPr>
  </w:style>
  <w:style w:type="paragraph" w:styleId="41">
    <w:name w:val="HTML Preformatted"/>
    <w:basedOn w:val="1"/>
    <w:link w:val="8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2">
    <w:name w:val="Normal (Web)"/>
    <w:basedOn w:val="1"/>
    <w:link w:val="88"/>
    <w:unhideWhenUsed/>
    <w:qFormat/>
    <w:uiPriority w:val="0"/>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rPr>
      <w:szCs w:val="20"/>
    </w:rPr>
  </w:style>
  <w:style w:type="paragraph" w:styleId="44">
    <w:name w:val="index 2"/>
    <w:basedOn w:val="1"/>
    <w:next w:val="1"/>
    <w:qFormat/>
    <w:uiPriority w:val="99"/>
    <w:pPr>
      <w:ind w:left="200"/>
    </w:pPr>
    <w:rPr>
      <w:szCs w:val="20"/>
    </w:rPr>
  </w:style>
  <w:style w:type="paragraph" w:styleId="45">
    <w:name w:val="Title"/>
    <w:basedOn w:val="1"/>
    <w:link w:val="89"/>
    <w:qFormat/>
    <w:uiPriority w:val="0"/>
    <w:pPr>
      <w:jc w:val="center"/>
      <w:outlineLvl w:val="0"/>
    </w:pPr>
    <w:rPr>
      <w:b/>
      <w:sz w:val="32"/>
      <w:szCs w:val="20"/>
    </w:rPr>
  </w:style>
  <w:style w:type="paragraph" w:styleId="46">
    <w:name w:val="annotation subject"/>
    <w:basedOn w:val="15"/>
    <w:next w:val="15"/>
    <w:link w:val="90"/>
    <w:qFormat/>
    <w:uiPriority w:val="0"/>
    <w:rPr>
      <w:b/>
      <w:bCs/>
    </w:rPr>
  </w:style>
  <w:style w:type="paragraph" w:styleId="47">
    <w:name w:val="Body Text First Indent"/>
    <w:basedOn w:val="17"/>
    <w:link w:val="91"/>
    <w:unhideWhenUsed/>
    <w:qFormat/>
    <w:uiPriority w:val="0"/>
    <w:pPr>
      <w:tabs>
        <w:tab w:val="clear" w:pos="567"/>
      </w:tabs>
      <w:spacing w:before="0" w:after="120" w:line="240" w:lineRule="auto"/>
      <w:ind w:firstLine="420"/>
    </w:pPr>
    <w:rPr>
      <w:sz w:val="21"/>
    </w:rPr>
  </w:style>
  <w:style w:type="paragraph" w:styleId="48">
    <w:name w:val="Body Text First Indent 2"/>
    <w:basedOn w:val="18"/>
    <w:link w:val="92"/>
    <w:qFormat/>
    <w:uiPriority w:val="0"/>
    <w:pPr>
      <w:spacing w:after="120" w:line="480" w:lineRule="exact"/>
      <w:ind w:left="420" w:firstLine="420"/>
    </w:pPr>
    <w:rPr>
      <w:szCs w:val="20"/>
    </w:rPr>
  </w:style>
  <w:style w:type="table" w:styleId="50">
    <w:name w:val="Table Grid"/>
    <w:basedOn w:val="4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1">
    <w:name w:val="Medium Grid 1 Accent 2"/>
    <w:basedOn w:val="49"/>
    <w:qFormat/>
    <w:uiPriority w:val="0"/>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3">
    <w:name w:val="Strong"/>
    <w:qFormat/>
    <w:uiPriority w:val="99"/>
    <w:rPr>
      <w:b/>
      <w:bCs/>
    </w:rPr>
  </w:style>
  <w:style w:type="character" w:styleId="54">
    <w:name w:val="endnote reference"/>
    <w:basedOn w:val="52"/>
    <w:unhideWhenUsed/>
    <w:qFormat/>
    <w:uiPriority w:val="99"/>
    <w:rPr>
      <w:vertAlign w:val="superscript"/>
    </w:rPr>
  </w:style>
  <w:style w:type="character" w:styleId="55">
    <w:name w:val="page number"/>
    <w:qFormat/>
    <w:uiPriority w:val="99"/>
  </w:style>
  <w:style w:type="character" w:styleId="56">
    <w:name w:val="FollowedHyperlink"/>
    <w:qFormat/>
    <w:uiPriority w:val="99"/>
    <w:rPr>
      <w:color w:val="800080"/>
      <w:u w:val="single"/>
    </w:rPr>
  </w:style>
  <w:style w:type="character" w:styleId="57">
    <w:name w:val="Emphasis"/>
    <w:qFormat/>
    <w:uiPriority w:val="20"/>
    <w:rPr>
      <w:color w:val="CC0033"/>
    </w:rPr>
  </w:style>
  <w:style w:type="character" w:styleId="58">
    <w:name w:val="Hyperlink"/>
    <w:qFormat/>
    <w:uiPriority w:val="99"/>
    <w:rPr>
      <w:color w:val="0000FF"/>
      <w:u w:val="single"/>
    </w:rPr>
  </w:style>
  <w:style w:type="character" w:styleId="59">
    <w:name w:val="annotation reference"/>
    <w:qFormat/>
    <w:uiPriority w:val="99"/>
    <w:rPr>
      <w:sz w:val="21"/>
      <w:szCs w:val="21"/>
    </w:rPr>
  </w:style>
  <w:style w:type="character" w:styleId="60">
    <w:name w:val="HTML Cite"/>
    <w:qFormat/>
    <w:uiPriority w:val="0"/>
    <w:rPr>
      <w:i/>
      <w:iCs/>
    </w:rPr>
  </w:style>
  <w:style w:type="character" w:styleId="61">
    <w:name w:val="footnote reference"/>
    <w:basedOn w:val="52"/>
    <w:unhideWhenUsed/>
    <w:qFormat/>
    <w:uiPriority w:val="99"/>
    <w:rPr>
      <w:vertAlign w:val="superscript"/>
    </w:rPr>
  </w:style>
  <w:style w:type="character" w:customStyle="1" w:styleId="62">
    <w:name w:val="正文文本缩进 字符1"/>
    <w:link w:val="18"/>
    <w:qFormat/>
    <w:uiPriority w:val="0"/>
    <w:rPr>
      <w:rFonts w:eastAsia="宋体"/>
      <w:sz w:val="24"/>
      <w:szCs w:val="24"/>
      <w:lang w:val="en-US" w:eastAsia="zh-CN" w:bidi="ar-SA"/>
    </w:rPr>
  </w:style>
  <w:style w:type="character" w:customStyle="1" w:styleId="63">
    <w:name w:val="标题 1 字符1"/>
    <w:link w:val="2"/>
    <w:qFormat/>
    <w:uiPriority w:val="99"/>
    <w:rPr>
      <w:rFonts w:ascii="宋体"/>
      <w:b/>
      <w:sz w:val="32"/>
    </w:rPr>
  </w:style>
  <w:style w:type="character" w:customStyle="1" w:styleId="64">
    <w:name w:val="标题 2 字符1"/>
    <w:link w:val="3"/>
    <w:qFormat/>
    <w:uiPriority w:val="0"/>
    <w:rPr>
      <w:rFonts w:ascii="Arial" w:hAnsi="Arial" w:eastAsia="黑体"/>
      <w:b/>
      <w:sz w:val="30"/>
      <w:lang w:val="en-US" w:eastAsia="zh-CN" w:bidi="ar-SA"/>
    </w:rPr>
  </w:style>
  <w:style w:type="character" w:customStyle="1" w:styleId="65">
    <w:name w:val="正文缩进 字符2"/>
    <w:link w:val="4"/>
    <w:qFormat/>
    <w:uiPriority w:val="0"/>
    <w:rPr>
      <w:rFonts w:ascii="宋体" w:eastAsia="宋体"/>
      <w:sz w:val="24"/>
      <w:szCs w:val="24"/>
      <w:lang w:val="en-US" w:eastAsia="zh-CN" w:bidi="ar-SA"/>
    </w:rPr>
  </w:style>
  <w:style w:type="character" w:customStyle="1" w:styleId="66">
    <w:name w:val="标题 3 字符1"/>
    <w:link w:val="5"/>
    <w:qFormat/>
    <w:uiPriority w:val="0"/>
    <w:rPr>
      <w:rFonts w:ascii="宋体" w:eastAsia="宋体"/>
      <w:b/>
      <w:sz w:val="24"/>
      <w:u w:val="single"/>
      <w:lang w:val="en-US" w:eastAsia="zh-CN" w:bidi="ar-SA"/>
    </w:rPr>
  </w:style>
  <w:style w:type="character" w:customStyle="1" w:styleId="67">
    <w:name w:val="标题 4 字符1"/>
    <w:link w:val="6"/>
    <w:qFormat/>
    <w:uiPriority w:val="0"/>
    <w:rPr>
      <w:rFonts w:ascii="Arial" w:hAnsi="Arial" w:eastAsia="黑体"/>
      <w:b/>
      <w:sz w:val="28"/>
    </w:rPr>
  </w:style>
  <w:style w:type="character" w:customStyle="1" w:styleId="68">
    <w:name w:val="标题 5 字符1"/>
    <w:link w:val="7"/>
    <w:qFormat/>
    <w:uiPriority w:val="0"/>
    <w:rPr>
      <w:b/>
      <w:sz w:val="28"/>
    </w:rPr>
  </w:style>
  <w:style w:type="character" w:customStyle="1" w:styleId="69">
    <w:name w:val="标题 6 字符1"/>
    <w:link w:val="8"/>
    <w:qFormat/>
    <w:uiPriority w:val="0"/>
    <w:rPr>
      <w:rFonts w:ascii="Arial" w:hAnsi="Arial" w:eastAsia="黑体"/>
      <w:b/>
      <w:sz w:val="24"/>
    </w:rPr>
  </w:style>
  <w:style w:type="character" w:customStyle="1" w:styleId="70">
    <w:name w:val="标题 7 字符1"/>
    <w:link w:val="9"/>
    <w:qFormat/>
    <w:uiPriority w:val="0"/>
    <w:rPr>
      <w:b/>
      <w:sz w:val="24"/>
    </w:rPr>
  </w:style>
  <w:style w:type="character" w:customStyle="1" w:styleId="71">
    <w:name w:val="标题 8 字符1"/>
    <w:link w:val="10"/>
    <w:qFormat/>
    <w:uiPriority w:val="0"/>
    <w:rPr>
      <w:rFonts w:ascii="Arial" w:hAnsi="Arial" w:eastAsia="黑体"/>
      <w:sz w:val="24"/>
    </w:rPr>
  </w:style>
  <w:style w:type="character" w:customStyle="1" w:styleId="72">
    <w:name w:val="标题 9 字符1"/>
    <w:link w:val="11"/>
    <w:qFormat/>
    <w:uiPriority w:val="0"/>
    <w:rPr>
      <w:rFonts w:ascii="Arial" w:hAnsi="Arial" w:eastAsia="黑体"/>
      <w:sz w:val="21"/>
    </w:rPr>
  </w:style>
  <w:style w:type="character" w:customStyle="1" w:styleId="73">
    <w:name w:val="文档结构图 字符1"/>
    <w:link w:val="14"/>
    <w:qFormat/>
    <w:uiPriority w:val="0"/>
    <w:rPr>
      <w:sz w:val="21"/>
      <w:szCs w:val="24"/>
      <w:shd w:val="clear" w:color="auto" w:fill="000080"/>
    </w:rPr>
  </w:style>
  <w:style w:type="character" w:customStyle="1" w:styleId="74">
    <w:name w:val="批注文字 字符2"/>
    <w:link w:val="15"/>
    <w:qFormat/>
    <w:uiPriority w:val="99"/>
    <w:rPr>
      <w:sz w:val="21"/>
      <w:szCs w:val="24"/>
    </w:rPr>
  </w:style>
  <w:style w:type="character" w:customStyle="1" w:styleId="75">
    <w:name w:val="正文文本 3 字符1"/>
    <w:link w:val="16"/>
    <w:qFormat/>
    <w:uiPriority w:val="0"/>
    <w:rPr>
      <w:sz w:val="16"/>
      <w:szCs w:val="16"/>
    </w:rPr>
  </w:style>
  <w:style w:type="character" w:customStyle="1" w:styleId="76">
    <w:name w:val="正文文本 Char"/>
    <w:basedOn w:val="52"/>
    <w:link w:val="17"/>
    <w:qFormat/>
    <w:uiPriority w:val="0"/>
    <w:rPr>
      <w:rFonts w:ascii="宋体" w:hAnsi="宋体"/>
      <w:sz w:val="24"/>
      <w:szCs w:val="24"/>
    </w:rPr>
  </w:style>
  <w:style w:type="character" w:customStyle="1" w:styleId="77">
    <w:name w:val="纯文本 字符3"/>
    <w:link w:val="23"/>
    <w:qFormat/>
    <w:uiPriority w:val="0"/>
    <w:rPr>
      <w:rFonts w:hint="eastAsia" w:ascii="宋体" w:hAnsi="Courier New" w:eastAsia="宋体" w:cs="宋体"/>
      <w:sz w:val="21"/>
    </w:rPr>
  </w:style>
  <w:style w:type="character" w:customStyle="1" w:styleId="78">
    <w:name w:val="日期 字符1"/>
    <w:link w:val="25"/>
    <w:qFormat/>
    <w:uiPriority w:val="0"/>
    <w:rPr>
      <w:rFonts w:ascii="仿宋_GB2312" w:hAnsi="宋体" w:eastAsia="仿宋_GB2312"/>
      <w:color w:val="000000"/>
      <w:sz w:val="24"/>
      <w:szCs w:val="24"/>
    </w:rPr>
  </w:style>
  <w:style w:type="character" w:customStyle="1" w:styleId="79">
    <w:name w:val="正文文本缩进 2 字符1"/>
    <w:link w:val="26"/>
    <w:qFormat/>
    <w:uiPriority w:val="0"/>
    <w:rPr>
      <w:rFonts w:ascii="仿宋_GB2312" w:eastAsia="仿宋_GB2312"/>
      <w:sz w:val="24"/>
      <w:szCs w:val="24"/>
    </w:rPr>
  </w:style>
  <w:style w:type="character" w:customStyle="1" w:styleId="80">
    <w:name w:val="Endnote Text Char"/>
    <w:link w:val="27"/>
    <w:qFormat/>
    <w:uiPriority w:val="99"/>
    <w:rPr>
      <w:sz w:val="20"/>
    </w:rPr>
  </w:style>
  <w:style w:type="character" w:customStyle="1" w:styleId="81">
    <w:name w:val="批注框文本 字符1"/>
    <w:link w:val="28"/>
    <w:qFormat/>
    <w:uiPriority w:val="0"/>
    <w:rPr>
      <w:sz w:val="18"/>
      <w:szCs w:val="18"/>
    </w:rPr>
  </w:style>
  <w:style w:type="character" w:customStyle="1" w:styleId="82">
    <w:name w:val="页脚 字符1"/>
    <w:link w:val="29"/>
    <w:qFormat/>
    <w:uiPriority w:val="99"/>
    <w:rPr>
      <w:rFonts w:ascii="宋体" w:eastAsia="宋体"/>
      <w:sz w:val="18"/>
      <w:lang w:val="en-US" w:eastAsia="zh-CN" w:bidi="ar-SA"/>
    </w:rPr>
  </w:style>
  <w:style w:type="character" w:customStyle="1" w:styleId="83">
    <w:name w:val="页眉 字符1"/>
    <w:link w:val="31"/>
    <w:qFormat/>
    <w:uiPriority w:val="0"/>
    <w:rPr>
      <w:rFonts w:eastAsia="宋体"/>
      <w:sz w:val="18"/>
      <w:szCs w:val="18"/>
      <w:lang w:val="en-US" w:eastAsia="zh-CN" w:bidi="ar-SA"/>
    </w:rPr>
  </w:style>
  <w:style w:type="character" w:customStyle="1" w:styleId="84">
    <w:name w:val="Subtitle Char"/>
    <w:basedOn w:val="52"/>
    <w:link w:val="34"/>
    <w:qFormat/>
    <w:uiPriority w:val="11"/>
    <w:rPr>
      <w:sz w:val="24"/>
      <w:szCs w:val="24"/>
    </w:rPr>
  </w:style>
  <w:style w:type="character" w:customStyle="1" w:styleId="85">
    <w:name w:val="Footnote Text Char"/>
    <w:link w:val="35"/>
    <w:qFormat/>
    <w:uiPriority w:val="99"/>
    <w:rPr>
      <w:sz w:val="18"/>
    </w:rPr>
  </w:style>
  <w:style w:type="character" w:customStyle="1" w:styleId="86">
    <w:name w:val="正文文本缩进 3 字符1"/>
    <w:link w:val="37"/>
    <w:qFormat/>
    <w:uiPriority w:val="0"/>
    <w:rPr>
      <w:rFonts w:ascii="宋体"/>
      <w:sz w:val="24"/>
    </w:rPr>
  </w:style>
  <w:style w:type="character" w:customStyle="1" w:styleId="87">
    <w:name w:val="HTML 预设格式 字符1"/>
    <w:link w:val="41"/>
    <w:qFormat/>
    <w:uiPriority w:val="0"/>
    <w:rPr>
      <w:rFonts w:ascii="宋体" w:hAnsi="宋体" w:cs="宋体"/>
      <w:sz w:val="24"/>
      <w:szCs w:val="24"/>
    </w:rPr>
  </w:style>
  <w:style w:type="character" w:customStyle="1" w:styleId="88">
    <w:name w:val="普通(网站) 字符"/>
    <w:link w:val="42"/>
    <w:qFormat/>
    <w:uiPriority w:val="99"/>
    <w:rPr>
      <w:rFonts w:ascii="宋体" w:hAnsi="宋体" w:cs="宋体"/>
      <w:sz w:val="24"/>
      <w:szCs w:val="24"/>
    </w:rPr>
  </w:style>
  <w:style w:type="character" w:customStyle="1" w:styleId="89">
    <w:name w:val="标题 字符1"/>
    <w:link w:val="45"/>
    <w:qFormat/>
    <w:uiPriority w:val="0"/>
    <w:rPr>
      <w:b/>
      <w:sz w:val="32"/>
    </w:rPr>
  </w:style>
  <w:style w:type="character" w:customStyle="1" w:styleId="90">
    <w:name w:val="批注主题 字符1"/>
    <w:link w:val="46"/>
    <w:qFormat/>
    <w:uiPriority w:val="0"/>
    <w:rPr>
      <w:rFonts w:ascii="Times New Roman" w:hAnsi="Times New Roman" w:eastAsia="宋体" w:cs="Times New Roman"/>
      <w:b/>
      <w:bCs/>
      <w:sz w:val="21"/>
      <w:szCs w:val="24"/>
      <w:lang w:val="en-US" w:eastAsia="zh-CN" w:bidi="ar-SA"/>
    </w:rPr>
  </w:style>
  <w:style w:type="character" w:customStyle="1" w:styleId="91">
    <w:name w:val="正文文本首行缩进 字符"/>
    <w:link w:val="47"/>
    <w:qFormat/>
    <w:uiPriority w:val="0"/>
    <w:rPr>
      <w:rFonts w:ascii="宋体" w:hAnsi="宋体"/>
      <w:sz w:val="21"/>
      <w:szCs w:val="24"/>
    </w:rPr>
  </w:style>
  <w:style w:type="character" w:customStyle="1" w:styleId="92">
    <w:name w:val="正文文本首行缩进 2 字符1"/>
    <w:link w:val="48"/>
    <w:qFormat/>
    <w:uiPriority w:val="0"/>
    <w:rPr>
      <w:rFonts w:eastAsia="宋体"/>
      <w:sz w:val="24"/>
      <w:szCs w:val="24"/>
      <w:lang w:val="en-US" w:eastAsia="zh-CN" w:bidi="ar-SA"/>
    </w:rPr>
  </w:style>
  <w:style w:type="character" w:customStyle="1" w:styleId="93">
    <w:name w:val="Heading 1 Char"/>
    <w:basedOn w:val="52"/>
    <w:qFormat/>
    <w:uiPriority w:val="9"/>
    <w:rPr>
      <w:rFonts w:ascii="Arial" w:hAnsi="Arial" w:eastAsia="Arial" w:cs="Arial"/>
      <w:sz w:val="40"/>
      <w:szCs w:val="40"/>
    </w:rPr>
  </w:style>
  <w:style w:type="character" w:customStyle="1" w:styleId="94">
    <w:name w:val="Heading 2 Char"/>
    <w:basedOn w:val="52"/>
    <w:qFormat/>
    <w:uiPriority w:val="9"/>
    <w:rPr>
      <w:rFonts w:ascii="Arial" w:hAnsi="Arial" w:eastAsia="Arial" w:cs="Arial"/>
      <w:sz w:val="34"/>
    </w:rPr>
  </w:style>
  <w:style w:type="character" w:customStyle="1" w:styleId="95">
    <w:name w:val="Heading 3 Char"/>
    <w:basedOn w:val="52"/>
    <w:qFormat/>
    <w:uiPriority w:val="9"/>
    <w:rPr>
      <w:rFonts w:ascii="Arial" w:hAnsi="Arial" w:eastAsia="Arial" w:cs="Arial"/>
      <w:sz w:val="30"/>
      <w:szCs w:val="30"/>
    </w:rPr>
  </w:style>
  <w:style w:type="character" w:customStyle="1" w:styleId="96">
    <w:name w:val="Heading 4 Char"/>
    <w:basedOn w:val="52"/>
    <w:qFormat/>
    <w:uiPriority w:val="9"/>
    <w:rPr>
      <w:rFonts w:ascii="Arial" w:hAnsi="Arial" w:eastAsia="Arial" w:cs="Arial"/>
      <w:b/>
      <w:bCs/>
      <w:sz w:val="26"/>
      <w:szCs w:val="26"/>
    </w:rPr>
  </w:style>
  <w:style w:type="character" w:customStyle="1" w:styleId="97">
    <w:name w:val="Heading 5 Char"/>
    <w:basedOn w:val="52"/>
    <w:qFormat/>
    <w:uiPriority w:val="9"/>
    <w:rPr>
      <w:rFonts w:ascii="Arial" w:hAnsi="Arial" w:eastAsia="Arial" w:cs="Arial"/>
      <w:b/>
      <w:bCs/>
      <w:sz w:val="24"/>
      <w:szCs w:val="24"/>
    </w:rPr>
  </w:style>
  <w:style w:type="character" w:customStyle="1" w:styleId="98">
    <w:name w:val="Heading 6 Char"/>
    <w:basedOn w:val="52"/>
    <w:qFormat/>
    <w:uiPriority w:val="9"/>
    <w:rPr>
      <w:rFonts w:ascii="Arial" w:hAnsi="Arial" w:eastAsia="Arial" w:cs="Arial"/>
      <w:b/>
      <w:bCs/>
      <w:sz w:val="22"/>
      <w:szCs w:val="22"/>
    </w:rPr>
  </w:style>
  <w:style w:type="character" w:customStyle="1" w:styleId="99">
    <w:name w:val="Heading 7 Char"/>
    <w:basedOn w:val="52"/>
    <w:qFormat/>
    <w:uiPriority w:val="9"/>
    <w:rPr>
      <w:rFonts w:ascii="Arial" w:hAnsi="Arial" w:eastAsia="Arial" w:cs="Arial"/>
      <w:b/>
      <w:bCs/>
      <w:i/>
      <w:iCs/>
      <w:sz w:val="22"/>
      <w:szCs w:val="22"/>
    </w:rPr>
  </w:style>
  <w:style w:type="character" w:customStyle="1" w:styleId="100">
    <w:name w:val="Heading 8 Char"/>
    <w:basedOn w:val="52"/>
    <w:qFormat/>
    <w:uiPriority w:val="9"/>
    <w:rPr>
      <w:rFonts w:ascii="Arial" w:hAnsi="Arial" w:eastAsia="Arial" w:cs="Arial"/>
      <w:i/>
      <w:iCs/>
      <w:sz w:val="22"/>
      <w:szCs w:val="22"/>
    </w:rPr>
  </w:style>
  <w:style w:type="character" w:customStyle="1" w:styleId="101">
    <w:name w:val="Heading 9 Char"/>
    <w:basedOn w:val="52"/>
    <w:qFormat/>
    <w:uiPriority w:val="9"/>
    <w:rPr>
      <w:rFonts w:ascii="Arial" w:hAnsi="Arial" w:eastAsia="Arial" w:cs="Arial"/>
      <w:i/>
      <w:iCs/>
      <w:sz w:val="21"/>
      <w:szCs w:val="21"/>
    </w:rPr>
  </w:style>
  <w:style w:type="character" w:customStyle="1" w:styleId="102">
    <w:name w:val="Title Char"/>
    <w:basedOn w:val="52"/>
    <w:qFormat/>
    <w:uiPriority w:val="10"/>
    <w:rPr>
      <w:sz w:val="48"/>
      <w:szCs w:val="48"/>
    </w:rPr>
  </w:style>
  <w:style w:type="paragraph" w:styleId="103">
    <w:name w:val="Quote"/>
    <w:basedOn w:val="1"/>
    <w:next w:val="1"/>
    <w:link w:val="104"/>
    <w:qFormat/>
    <w:uiPriority w:val="29"/>
    <w:pPr>
      <w:ind w:left="720" w:right="720"/>
    </w:pPr>
    <w:rPr>
      <w:i/>
    </w:rPr>
  </w:style>
  <w:style w:type="character" w:customStyle="1" w:styleId="104">
    <w:name w:val="Quote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Intense Quote Char"/>
    <w:link w:val="105"/>
    <w:qFormat/>
    <w:uiPriority w:val="30"/>
    <w:rPr>
      <w:i/>
    </w:rPr>
  </w:style>
  <w:style w:type="character" w:customStyle="1" w:styleId="107">
    <w:name w:val="Header Char"/>
    <w:basedOn w:val="52"/>
    <w:qFormat/>
    <w:uiPriority w:val="99"/>
  </w:style>
  <w:style w:type="character" w:customStyle="1" w:styleId="108">
    <w:name w:val="Footer Char"/>
    <w:basedOn w:val="52"/>
    <w:qFormat/>
    <w:uiPriority w:val="99"/>
  </w:style>
  <w:style w:type="character" w:customStyle="1" w:styleId="109">
    <w:name w:val="Caption Char"/>
    <w:qFormat/>
    <w:uiPriority w:val="99"/>
  </w:style>
  <w:style w:type="table" w:customStyle="1" w:styleId="110">
    <w:name w:val="Table Grid Light"/>
    <w:basedOn w:val="49"/>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1">
    <w:name w:val="Plain Table 1"/>
    <w:basedOn w:val="49"/>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2">
    <w:name w:val="Plain Table 2"/>
    <w:basedOn w:val="49"/>
    <w:qFormat/>
    <w:uiPriority w:val="59"/>
    <w:pPr>
      <w:spacing w:after="0" w:line="240" w:lineRule="auto"/>
    </w:p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3">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4">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5">
    <w:name w:val="Plain Table 5"/>
    <w:basedOn w:val="49"/>
    <w:qFormat/>
    <w:uiPriority w:val="99"/>
    <w:pPr>
      <w:spacing w:after="0" w:line="240" w:lineRule="auto"/>
    </w:p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6">
    <w:name w:val="Grid Table 1 Light"/>
    <w:basedOn w:val="49"/>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7">
    <w:name w:val="Grid Table 1 Light - Accent 1"/>
    <w:basedOn w:val="49"/>
    <w:qFormat/>
    <w:uiPriority w:val="99"/>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8">
    <w:name w:val="Grid Table 1 Light - Accent 2"/>
    <w:basedOn w:val="49"/>
    <w:qFormat/>
    <w:uiPriority w:val="99"/>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9">
    <w:name w:val="Grid Table 1 Light - Accent 3"/>
    <w:basedOn w:val="49"/>
    <w:qFormat/>
    <w:uiPriority w:val="99"/>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20">
    <w:name w:val="Grid Table 1 Light - Accent 4"/>
    <w:basedOn w:val="49"/>
    <w:qFormat/>
    <w:uiPriority w:val="99"/>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1">
    <w:name w:val="Grid Table 1 Light - Accent 5"/>
    <w:basedOn w:val="49"/>
    <w:qFormat/>
    <w:uiPriority w:val="99"/>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22">
    <w:name w:val="Grid Table 1 Light - Accent 6"/>
    <w:basedOn w:val="49"/>
    <w:qFormat/>
    <w:uiPriority w:val="99"/>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3">
    <w:name w:val="Grid Table 2"/>
    <w:basedOn w:val="49"/>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4">
    <w:name w:val="Grid Table 2 - Accent 1"/>
    <w:basedOn w:val="49"/>
    <w:qFormat/>
    <w:uiPriority w:val="99"/>
    <w:pPr>
      <w:spacing w:after="0" w:line="240" w:lineRule="auto"/>
    </w:p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single" w:color="537DC8" w:sz="12" w:space="0"/>
          <w:right w:val="nil"/>
          <w:insideH w:val="nil"/>
          <w:insideV w:val="nil"/>
          <w:tl2br w:val="nil"/>
          <w:tr2bl w:val="nil"/>
        </w:tcBorders>
        <w:shd w:val="clear" w:color="FFFFFF" w:fill="auto"/>
      </w:tcPr>
    </w:tblStylePr>
    <w:tblStylePr w:type="lastRow">
      <w:rPr>
        <w:b/>
        <w:color w:val="404040"/>
      </w:rPr>
      <w:tcPr>
        <w:tcBorders>
          <w:top w:val="single" w:color="537DC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25">
    <w:name w:val="Grid Table 2 - Accent 2"/>
    <w:basedOn w:val="49"/>
    <w:qFormat/>
    <w:uiPriority w:val="99"/>
    <w:pPr>
      <w:spacing w:after="0" w:line="240" w:lineRule="auto"/>
    </w:pPr>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26">
    <w:name w:val="Grid Table 2 - Accent 3"/>
    <w:basedOn w:val="49"/>
    <w:qFormat/>
    <w:uiPriority w:val="99"/>
    <w:pPr>
      <w:spacing w:after="0" w:line="240" w:lineRule="auto"/>
    </w:p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27">
    <w:name w:val="Grid Table 2 - Accent 4"/>
    <w:basedOn w:val="49"/>
    <w:qFormat/>
    <w:uiPriority w:val="99"/>
    <w:pPr>
      <w:spacing w:after="0" w:line="240" w:lineRule="auto"/>
    </w:pPr>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28">
    <w:name w:val="Grid Table 2 - Accent 5"/>
    <w:basedOn w:val="49"/>
    <w:qFormat/>
    <w:uiPriority w:val="99"/>
    <w:pPr>
      <w:spacing w:after="0" w:line="240" w:lineRule="auto"/>
    </w:p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single" w:color="5B9BD5" w:sz="12" w:space="0"/>
          <w:right w:val="nil"/>
          <w:insideH w:val="nil"/>
          <w:insideV w:val="nil"/>
          <w:tl2br w:val="nil"/>
          <w:tr2bl w:val="nil"/>
        </w:tcBorders>
        <w:shd w:val="clear" w:color="FFFFFF" w:fill="auto"/>
      </w:tcPr>
    </w:tblStylePr>
    <w:tblStylePr w:type="lastRow">
      <w:rPr>
        <w:b/>
        <w:color w:val="404040"/>
      </w:rPr>
      <w:tcPr>
        <w:tcBorders>
          <w:top w:val="single" w:color="5B9BD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29">
    <w:name w:val="Grid Table 2 - Accent 6"/>
    <w:basedOn w:val="49"/>
    <w:qFormat/>
    <w:uiPriority w:val="99"/>
    <w:pPr>
      <w:spacing w:after="0" w:line="240" w:lineRule="auto"/>
    </w:p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30">
    <w:name w:val="Grid Table 3"/>
    <w:basedOn w:val="49"/>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1">
    <w:name w:val="Grid Table 3 - Accent 1"/>
    <w:basedOn w:val="49"/>
    <w:qFormat/>
    <w:uiPriority w:val="99"/>
    <w:pPr>
      <w:spacing w:after="0" w:line="240" w:lineRule="auto"/>
    </w:p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32">
    <w:name w:val="Grid Table 3 - Accent 2"/>
    <w:basedOn w:val="49"/>
    <w:qFormat/>
    <w:uiPriority w:val="99"/>
    <w:pPr>
      <w:spacing w:after="0" w:line="240" w:lineRule="auto"/>
    </w:pPr>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33">
    <w:name w:val="Grid Table 3 - Accent 3"/>
    <w:basedOn w:val="49"/>
    <w:qFormat/>
    <w:uiPriority w:val="99"/>
    <w:pPr>
      <w:spacing w:after="0" w:line="240" w:lineRule="auto"/>
    </w:p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34">
    <w:name w:val="Grid Table 3 - Accent 4"/>
    <w:basedOn w:val="49"/>
    <w:qFormat/>
    <w:uiPriority w:val="99"/>
    <w:pPr>
      <w:spacing w:after="0" w:line="240" w:lineRule="auto"/>
    </w:pPr>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35">
    <w:name w:val="Grid Table 3 - Accent 5"/>
    <w:basedOn w:val="49"/>
    <w:qFormat/>
    <w:uiPriority w:val="99"/>
    <w:pPr>
      <w:spacing w:after="0" w:line="240" w:lineRule="auto"/>
    </w:p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6">
    <w:name w:val="Grid Table 3 - Accent 6"/>
    <w:basedOn w:val="49"/>
    <w:qFormat/>
    <w:uiPriority w:val="99"/>
    <w:pPr>
      <w:spacing w:after="0" w:line="240" w:lineRule="auto"/>
    </w:p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37">
    <w:name w:val="Grid Table 4"/>
    <w:basedOn w:val="49"/>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8">
    <w:name w:val="Grid Table 4 - Accent 1"/>
    <w:basedOn w:val="49"/>
    <w:qFormat/>
    <w:uiPriority w:val="59"/>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537DC8" w:sz="4" w:space="0"/>
          <w:left w:val="single" w:color="537DC8" w:sz="4" w:space="0"/>
          <w:bottom w:val="single" w:color="537DC8" w:sz="4" w:space="0"/>
          <w:right w:val="single" w:color="537DC8" w:sz="4" w:space="0"/>
          <w:insideH w:val="nil"/>
          <w:insideV w:val="nil"/>
          <w:tl2br w:val="nil"/>
          <w:tr2bl w:val="nil"/>
        </w:tcBorders>
        <w:shd w:val="clear" w:color="537DC8" w:fill="537DC8"/>
      </w:tcPr>
    </w:tblStylePr>
    <w:tblStylePr w:type="lastRow">
      <w:rPr>
        <w:b/>
        <w:color w:val="404040"/>
      </w:rPr>
      <w:tcPr>
        <w:tcBorders>
          <w:top w:val="single" w:color="537DC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fill="DAE3F3"/>
      </w:tcPr>
    </w:tblStylePr>
    <w:tblStylePr w:type="band1Horz">
      <w:rPr>
        <w:rFonts w:ascii="Arial" w:hAnsi="Arial"/>
        <w:color w:val="404040"/>
        <w:sz w:val="22"/>
      </w:rPr>
      <w:tcPr>
        <w:shd w:val="clear" w:color="DAE3F3" w:fill="DAE3F3"/>
      </w:tcPr>
    </w:tblStylePr>
  </w:style>
  <w:style w:type="table" w:customStyle="1" w:styleId="139">
    <w:name w:val="Grid Table 4 - Accent 2"/>
    <w:basedOn w:val="49"/>
    <w:qFormat/>
    <w:uiPriority w:val="59"/>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40">
    <w:name w:val="Grid Table 4 - Accent 3"/>
    <w:basedOn w:val="49"/>
    <w:qFormat/>
    <w:uiPriority w:val="59"/>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41">
    <w:name w:val="Grid Table 4 - Accent 4"/>
    <w:basedOn w:val="49"/>
    <w:qFormat/>
    <w:uiPriority w:val="59"/>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Arial" w:hAnsi="Arial"/>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42">
    <w:name w:val="Grid Table 4 - Accent 5"/>
    <w:basedOn w:val="49"/>
    <w:qFormat/>
    <w:uiPriority w:val="59"/>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5B9BD5" w:sz="4" w:space="0"/>
          <w:left w:val="single" w:color="5B9BD5" w:sz="4" w:space="0"/>
          <w:bottom w:val="single" w:color="5B9BD5" w:sz="4" w:space="0"/>
          <w:right w:val="single" w:color="5B9BD5" w:sz="4" w:space="0"/>
          <w:insideH w:val="nil"/>
          <w:insideV w:val="nil"/>
          <w:tl2br w:val="nil"/>
          <w:tr2bl w:val="nil"/>
        </w:tcBorders>
        <w:shd w:val="clear" w:color="5B9BD5" w:fill="5B9BD5"/>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43">
    <w:name w:val="Grid Table 4 - Accent 6"/>
    <w:basedOn w:val="49"/>
    <w:qFormat/>
    <w:uiPriority w:val="59"/>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44">
    <w:name w:val="Grid Table 5 Dark"/>
    <w:basedOn w:val="4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5">
    <w:name w:val="Grid Table 5 Dark- Accent 1"/>
    <w:basedOn w:val="4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6">
    <w:name w:val="Grid Table 5 Dark - Accent 2"/>
    <w:basedOn w:val="4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7">
    <w:name w:val="Grid Table 5 Dark - Accent 3"/>
    <w:basedOn w:val="4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8">
    <w:name w:val="Grid Table 5 Dark- Accent 4"/>
    <w:basedOn w:val="4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9">
    <w:name w:val="Grid Table 5 Dark - Accent 5"/>
    <w:basedOn w:val="4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50">
    <w:name w:val="Grid Table 5 Dark - Accent 6"/>
    <w:basedOn w:val="4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1">
    <w:name w:val="Grid Table 6 Colorful"/>
    <w:basedOn w:val="49"/>
    <w:qFormat/>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52">
    <w:name w:val="Grid Table 6 Colorful - Accent 1"/>
    <w:basedOn w:val="49"/>
    <w:qFormat/>
    <w:uiPriority w:val="99"/>
    <w:pPr>
      <w:spacing w:after="0" w:line="240" w:lineRule="auto"/>
    </w:pPr>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Pr>
    <w:tblStylePr w:type="firstRow">
      <w:rPr>
        <w:b/>
        <w:color w:val="A1B8E1"/>
      </w:rPr>
      <w:tcPr>
        <w:tcBorders>
          <w:top w:val="nil"/>
          <w:left w:val="nil"/>
          <w:bottom w:val="single" w:color="A1B8E1" w:sz="12" w:space="0"/>
          <w:right w:val="nil"/>
          <w:insideH w:val="nil"/>
          <w:insideV w:val="nil"/>
          <w:tl2br w:val="nil"/>
          <w:tr2bl w:val="nil"/>
        </w:tcBorders>
      </w:tcPr>
    </w:tblStylePr>
    <w:tblStylePr w:type="lastRow">
      <w:rPr>
        <w:b/>
        <w:color w:val="A1B8E1"/>
      </w:rPr>
    </w:tblStylePr>
    <w:tblStylePr w:type="firstCol">
      <w:rPr>
        <w:b/>
        <w:color w:val="A1B8E1"/>
      </w:rPr>
    </w:tblStylePr>
    <w:tblStylePr w:type="lastCol">
      <w:rPr>
        <w:b/>
        <w:color w:val="A1B8E1"/>
      </w:rPr>
    </w:tblStylePr>
    <w:tblStylePr w:type="band1Vert">
      <w:tcPr>
        <w:shd w:val="clear" w:color="D8E2F2" w:fill="D8E2F2"/>
      </w:tcPr>
    </w:tblStylePr>
    <w:tblStylePr w:type="band1Horz">
      <w:rPr>
        <w:rFonts w:ascii="Arial" w:hAnsi="Arial"/>
        <w:color w:val="A1B8E1"/>
        <w:sz w:val="22"/>
      </w:rPr>
      <w:tcPr>
        <w:shd w:val="clear" w:color="D8E2F2" w:fill="D8E2F2"/>
      </w:tcPr>
    </w:tblStylePr>
    <w:tblStylePr w:type="band2Horz">
      <w:rPr>
        <w:rFonts w:ascii="Arial" w:hAnsi="Arial"/>
        <w:color w:val="A1B8E1"/>
        <w:sz w:val="22"/>
      </w:rPr>
    </w:tblStylePr>
  </w:style>
  <w:style w:type="table" w:customStyle="1" w:styleId="153">
    <w:name w:val="Grid Table 6 Colorful - Accent 2"/>
    <w:basedOn w:val="49"/>
    <w:qFormat/>
    <w:uiPriority w:val="99"/>
    <w:pPr>
      <w:spacing w:after="0" w:line="240" w:lineRule="auto"/>
    </w:p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54">
    <w:name w:val="Grid Table 6 Colorful - Accent 3"/>
    <w:basedOn w:val="49"/>
    <w:qFormat/>
    <w:uiPriority w:val="99"/>
    <w:pPr>
      <w:spacing w:after="0" w:line="240" w:lineRule="auto"/>
    </w:p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55">
    <w:name w:val="Grid Table 6 Colorful - Accent 4"/>
    <w:basedOn w:val="49"/>
    <w:qFormat/>
    <w:uiPriority w:val="99"/>
    <w:pPr>
      <w:spacing w:after="0" w:line="240" w:lineRule="auto"/>
    </w:p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864"/>
      </w:rPr>
      <w:tcPr>
        <w:tcBorders>
          <w:top w:val="nil"/>
          <w:left w:val="nil"/>
          <w:bottom w:val="single" w:color="FFD864" w:sz="12" w:space="0"/>
          <w:right w:val="nil"/>
          <w:insideH w:val="nil"/>
          <w:insideV w:val="nil"/>
          <w:tl2br w:val="nil"/>
          <w:tr2bl w:val="nil"/>
        </w:tcBorders>
      </w:tcPr>
    </w:tblStylePr>
    <w:tblStylePr w:type="lastRow">
      <w:rPr>
        <w:b/>
        <w:color w:val="FFD864"/>
      </w:rPr>
    </w:tblStylePr>
    <w:tblStylePr w:type="firstCol">
      <w:rPr>
        <w:b/>
        <w:color w:val="FFD864"/>
      </w:rPr>
    </w:tblStylePr>
    <w:tblStylePr w:type="lastCol">
      <w:rPr>
        <w:b/>
        <w:color w:val="FFD864"/>
      </w:rPr>
    </w:tblStylePr>
    <w:tblStylePr w:type="band1Vert">
      <w:tcPr>
        <w:shd w:val="clear" w:color="FEF2CA" w:fill="FEF2CA"/>
      </w:tcPr>
    </w:tblStylePr>
    <w:tblStylePr w:type="band1Horz">
      <w:rPr>
        <w:rFonts w:ascii="Arial" w:hAnsi="Arial"/>
        <w:color w:val="FFD864"/>
        <w:sz w:val="22"/>
      </w:rPr>
      <w:tcPr>
        <w:shd w:val="clear" w:color="FEF2CA" w:fill="FEF2CA"/>
      </w:tcPr>
    </w:tblStylePr>
    <w:tblStylePr w:type="band2Horz">
      <w:rPr>
        <w:rFonts w:ascii="Arial" w:hAnsi="Arial"/>
        <w:color w:val="FFD864"/>
        <w:sz w:val="22"/>
      </w:rPr>
    </w:tblStylePr>
  </w:style>
  <w:style w:type="table" w:customStyle="1" w:styleId="156">
    <w:name w:val="Grid Table 6 Colorful - Accent 5"/>
    <w:basedOn w:val="49"/>
    <w:qFormat/>
    <w:uiPriority w:val="99"/>
    <w:pPr>
      <w:spacing w:after="0" w:line="240" w:lineRule="auto"/>
    </w:p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firstRow">
      <w:rPr>
        <w:b/>
        <w:color w:val="245B8D"/>
      </w:rPr>
      <w:tcPr>
        <w:tcBorders>
          <w:top w:val="nil"/>
          <w:left w:val="nil"/>
          <w:bottom w:val="single" w:color="5B9BD5" w:sz="12" w:space="0"/>
          <w:right w:val="nil"/>
          <w:insideH w:val="nil"/>
          <w:insideV w:val="nil"/>
          <w:tl2br w:val="nil"/>
          <w:tr2bl w:val="nil"/>
        </w:tcBorders>
      </w:tcPr>
    </w:tblStylePr>
    <w:tblStylePr w:type="lastRow">
      <w:rPr>
        <w:b/>
        <w:color w:val="245B8D"/>
      </w:rPr>
    </w:tblStylePr>
    <w:tblStylePr w:type="firstCol">
      <w:rPr>
        <w:b/>
        <w:color w:val="245B8D"/>
      </w:rPr>
    </w:tblStylePr>
    <w:tblStylePr w:type="lastCol">
      <w:rPr>
        <w:b/>
        <w:color w:val="245B8D"/>
      </w:rPr>
    </w:tblStylePr>
    <w:tblStylePr w:type="band1Vert">
      <w:tcPr>
        <w:shd w:val="clear" w:color="DDEAF6" w:fill="DDEAF6"/>
      </w:tcPr>
    </w:tblStylePr>
    <w:tblStylePr w:type="band1Horz">
      <w:rPr>
        <w:rFonts w:ascii="Arial" w:hAnsi="Arial"/>
        <w:color w:val="245B8D"/>
        <w:sz w:val="22"/>
      </w:rPr>
      <w:tcPr>
        <w:shd w:val="clear" w:color="DDEAF6" w:fill="DDEAF6"/>
      </w:tcPr>
    </w:tblStylePr>
    <w:tblStylePr w:type="band2Horz">
      <w:rPr>
        <w:rFonts w:ascii="Arial" w:hAnsi="Arial"/>
        <w:color w:val="245B8D"/>
        <w:sz w:val="22"/>
      </w:rPr>
    </w:tblStylePr>
  </w:style>
  <w:style w:type="table" w:customStyle="1" w:styleId="157">
    <w:name w:val="Grid Table 6 Colorful - Accent 6"/>
    <w:basedOn w:val="49"/>
    <w:qFormat/>
    <w:uiPriority w:val="99"/>
    <w:pPr>
      <w:spacing w:after="0" w:line="240" w:lineRule="auto"/>
    </w:p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5B8D"/>
      </w:rPr>
      <w:tcPr>
        <w:tcBorders>
          <w:top w:val="nil"/>
          <w:left w:val="nil"/>
          <w:bottom w:val="single" w:color="70AD47" w:sz="12" w:space="0"/>
          <w:right w:val="nil"/>
          <w:insideH w:val="nil"/>
          <w:insideV w:val="nil"/>
          <w:tl2br w:val="nil"/>
          <w:tr2bl w:val="nil"/>
        </w:tcBorders>
      </w:tcPr>
    </w:tblStylePr>
    <w:tblStylePr w:type="lastRow">
      <w:rPr>
        <w:b/>
        <w:color w:val="245B8D"/>
      </w:rPr>
    </w:tblStylePr>
    <w:tblStylePr w:type="firstCol">
      <w:rPr>
        <w:b/>
        <w:color w:val="245B8D"/>
      </w:rPr>
    </w:tblStylePr>
    <w:tblStylePr w:type="lastCol">
      <w:rPr>
        <w:b/>
        <w:color w:val="245B8D"/>
      </w:rPr>
    </w:tblStylePr>
    <w:tblStylePr w:type="band1Vert">
      <w:tcPr>
        <w:shd w:val="clear" w:color="E1EFD8" w:fill="E1EFD8"/>
      </w:tcPr>
    </w:tblStylePr>
    <w:tblStylePr w:type="band1Horz">
      <w:rPr>
        <w:rFonts w:ascii="Arial" w:hAnsi="Arial"/>
        <w:color w:val="245B8D"/>
        <w:sz w:val="22"/>
      </w:rPr>
      <w:tcPr>
        <w:shd w:val="clear" w:color="E1EFD8" w:fill="E1EFD8"/>
      </w:tcPr>
    </w:tblStylePr>
    <w:tblStylePr w:type="band2Horz">
      <w:rPr>
        <w:rFonts w:ascii="Arial" w:hAnsi="Arial"/>
        <w:color w:val="245B8D"/>
        <w:sz w:val="22"/>
      </w:rPr>
    </w:tblStylePr>
  </w:style>
  <w:style w:type="table" w:customStyle="1" w:styleId="158">
    <w:name w:val="Grid Table 7 Colorful"/>
    <w:basedOn w:val="49"/>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59">
    <w:name w:val="Grid Table 7 Colorful - Accent 1"/>
    <w:basedOn w:val="49"/>
    <w:qFormat/>
    <w:uiPriority w:val="99"/>
    <w:pPr>
      <w:spacing w:after="0" w:line="240" w:lineRule="auto"/>
    </w:pPr>
    <w:tblPr>
      <w:tblBorders>
        <w:bottom w:val="single" w:color="A1B8E1" w:sz="4" w:space="0"/>
        <w:right w:val="single" w:color="A1B8E1" w:sz="4" w:space="0"/>
        <w:insideH w:val="single" w:color="A1B8E1" w:sz="4" w:space="0"/>
        <w:insideV w:val="single" w:color="A1B8E1" w:sz="4" w:space="0"/>
      </w:tblBorders>
    </w:tblPr>
    <w:tblStylePr w:type="firstRow">
      <w:rPr>
        <w:rFonts w:ascii="Arial" w:hAnsi="Arial"/>
        <w:b/>
        <w:color w:val="A1B8E1"/>
        <w:sz w:val="22"/>
      </w:rPr>
      <w:tcPr>
        <w:tcBorders>
          <w:top w:val="nil"/>
          <w:left w:val="nil"/>
          <w:bottom w:val="single" w:color="A1B8E1" w:sz="4" w:space="0"/>
          <w:right w:val="nil"/>
          <w:insideH w:val="nil"/>
          <w:insideV w:val="nil"/>
          <w:tl2br w:val="nil"/>
          <w:tr2bl w:val="nil"/>
        </w:tcBorders>
        <w:shd w:val="clear" w:color="FFFFFF" w:fill="FFFFFF"/>
      </w:tcPr>
    </w:tblStylePr>
    <w:tblStylePr w:type="lastRow">
      <w:rPr>
        <w:rFonts w:ascii="Arial" w:hAnsi="Arial"/>
        <w:b/>
        <w:color w:val="A1B8E1"/>
        <w:sz w:val="22"/>
      </w:rPr>
      <w:tcPr>
        <w:tcBorders>
          <w:top w:val="single" w:color="A1B8E1"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1B8E1"/>
        <w:sz w:val="22"/>
      </w:rPr>
      <w:tcPr>
        <w:tcBorders>
          <w:top w:val="nil"/>
          <w:left w:val="nil"/>
          <w:bottom w:val="nil"/>
          <w:right w:val="single" w:color="A1B8E1" w:sz="4" w:space="0"/>
          <w:insideH w:val="nil"/>
          <w:insideV w:val="nil"/>
          <w:tl2br w:val="nil"/>
          <w:tr2bl w:val="nil"/>
        </w:tcBorders>
        <w:shd w:val="clear" w:color="FFFFFF" w:fill="auto"/>
      </w:tcPr>
    </w:tblStylePr>
    <w:tblStylePr w:type="lastCol">
      <w:rPr>
        <w:rFonts w:ascii="Arial" w:hAnsi="Arial"/>
        <w:i/>
        <w:color w:val="A1B8E1"/>
        <w:sz w:val="22"/>
      </w:rPr>
      <w:tcPr>
        <w:tcBorders>
          <w:top w:val="nil"/>
          <w:left w:val="single" w:color="A1B8E1"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Arial" w:hAnsi="Arial"/>
        <w:color w:val="A1B8E1"/>
        <w:sz w:val="22"/>
      </w:rPr>
      <w:tcPr>
        <w:shd w:val="clear" w:color="D8E2F2" w:fill="D8E2F2"/>
      </w:tcPr>
    </w:tblStylePr>
    <w:tblStylePr w:type="band2Horz">
      <w:rPr>
        <w:rFonts w:ascii="Arial" w:hAnsi="Arial"/>
        <w:color w:val="A1B8E1"/>
        <w:sz w:val="22"/>
      </w:rPr>
    </w:tblStylePr>
  </w:style>
  <w:style w:type="table" w:customStyle="1" w:styleId="160">
    <w:name w:val="Grid Table 7 Colorful - Accent 2"/>
    <w:basedOn w:val="49"/>
    <w:qFormat/>
    <w:uiPriority w:val="99"/>
    <w:pPr>
      <w:spacing w:after="0" w:line="240" w:lineRule="auto"/>
    </w:pPr>
    <w:tblPr>
      <w:tblBorders>
        <w:bottom w:val="single" w:color="F4B285" w:sz="4" w:space="0"/>
        <w:right w:val="single" w:color="F4B285" w:sz="4" w:space="0"/>
        <w:insideH w:val="single" w:color="F4B285" w:sz="4" w:space="0"/>
        <w:insideV w:val="single" w:color="F4B285" w:sz="4" w:space="0"/>
      </w:tblBorders>
    </w:tblPr>
    <w:tblStylePr w:type="firstRow">
      <w:rPr>
        <w:rFonts w:ascii="Arial" w:hAnsi="Arial"/>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Arial" w:hAnsi="Arial"/>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Arial" w:hAnsi="Arial"/>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1">
    <w:name w:val="Grid Table 7 Colorful - Accent 3"/>
    <w:basedOn w:val="49"/>
    <w:qFormat/>
    <w:uiPriority w:val="99"/>
    <w:pPr>
      <w:spacing w:after="0" w:line="240" w:lineRule="auto"/>
    </w:pPr>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Arial" w:hAnsi="Arial"/>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2">
    <w:name w:val="Grid Table 7 Colorful - Accent 4"/>
    <w:basedOn w:val="49"/>
    <w:qFormat/>
    <w:uiPriority w:val="99"/>
    <w:pPr>
      <w:spacing w:after="0" w:line="240" w:lineRule="auto"/>
    </w:pPr>
    <w:tblPr>
      <w:tblBorders>
        <w:bottom w:val="single" w:color="FFD864" w:sz="4" w:space="0"/>
        <w:right w:val="single" w:color="FFD864" w:sz="4" w:space="0"/>
        <w:insideH w:val="single" w:color="FFD864" w:sz="4" w:space="0"/>
        <w:insideV w:val="single" w:color="FFD864" w:sz="4" w:space="0"/>
      </w:tblBorders>
    </w:tblPr>
    <w:tblStylePr w:type="firstRow">
      <w:rPr>
        <w:rFonts w:ascii="Arial" w:hAnsi="Arial"/>
        <w:b/>
        <w:color w:val="FFD864"/>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Arial" w:hAnsi="Arial"/>
        <w:b/>
        <w:color w:val="FFD864"/>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FD864"/>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Arial" w:hAnsi="Arial"/>
        <w:i/>
        <w:color w:val="FFD864"/>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Arial" w:hAnsi="Arial"/>
        <w:color w:val="FFD864"/>
        <w:sz w:val="22"/>
      </w:rPr>
      <w:tcPr>
        <w:shd w:val="clear" w:color="FEF2CA" w:fill="FEF2CA"/>
      </w:tcPr>
    </w:tblStylePr>
    <w:tblStylePr w:type="band2Horz">
      <w:rPr>
        <w:rFonts w:ascii="Arial" w:hAnsi="Arial"/>
        <w:color w:val="FFD864"/>
        <w:sz w:val="22"/>
      </w:rPr>
    </w:tblStylePr>
  </w:style>
  <w:style w:type="table" w:customStyle="1" w:styleId="163">
    <w:name w:val="Grid Table 7 Colorful - Accent 5"/>
    <w:basedOn w:val="49"/>
    <w:qFormat/>
    <w:uiPriority w:val="99"/>
    <w:pPr>
      <w:spacing w:after="0" w:line="240" w:lineRule="auto"/>
    </w:pPr>
    <w:tblPr>
      <w:tblBorders>
        <w:bottom w:val="single" w:color="A2C6E7" w:sz="4" w:space="0"/>
        <w:right w:val="single" w:color="A2C6E7" w:sz="4" w:space="0"/>
        <w:insideH w:val="single" w:color="A2C6E7" w:sz="4" w:space="0"/>
        <w:insideV w:val="single" w:color="A2C6E7" w:sz="4" w:space="0"/>
      </w:tblBorders>
    </w:tblPr>
    <w:tblStylePr w:type="firstRow">
      <w:rPr>
        <w:rFonts w:ascii="Arial" w:hAnsi="Arial"/>
        <w:b/>
        <w:color w:val="245B8D"/>
        <w:sz w:val="22"/>
      </w:rPr>
      <w:tcPr>
        <w:tcBorders>
          <w:top w:val="nil"/>
          <w:left w:val="nil"/>
          <w:bottom w:val="single" w:color="A2C6E7" w:sz="4" w:space="0"/>
          <w:right w:val="nil"/>
          <w:insideH w:val="nil"/>
          <w:insideV w:val="nil"/>
          <w:tl2br w:val="nil"/>
          <w:tr2bl w:val="nil"/>
        </w:tcBorders>
        <w:shd w:val="clear" w:color="FFFFFF" w:fill="FFFFFF"/>
      </w:tcPr>
    </w:tblStylePr>
    <w:tblStylePr w:type="lastRow">
      <w:rPr>
        <w:rFonts w:ascii="Arial" w:hAnsi="Arial"/>
        <w:b/>
        <w:color w:val="245B8D"/>
        <w:sz w:val="22"/>
      </w:rPr>
      <w:tcPr>
        <w:tcBorders>
          <w:top w:val="single" w:color="A2C6E7"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45B8D"/>
        <w:sz w:val="22"/>
      </w:rPr>
      <w:tcPr>
        <w:tcBorders>
          <w:top w:val="nil"/>
          <w:left w:val="nil"/>
          <w:bottom w:val="nil"/>
          <w:right w:val="single" w:color="A2C6E7" w:sz="4" w:space="0"/>
          <w:insideH w:val="nil"/>
          <w:insideV w:val="nil"/>
          <w:tl2br w:val="nil"/>
          <w:tr2bl w:val="nil"/>
        </w:tcBorders>
        <w:shd w:val="clear" w:color="FFFFFF" w:fill="auto"/>
      </w:tcPr>
    </w:tblStylePr>
    <w:tblStylePr w:type="lastCol">
      <w:rPr>
        <w:rFonts w:ascii="Arial" w:hAnsi="Arial"/>
        <w:i/>
        <w:color w:val="245B8D"/>
        <w:sz w:val="22"/>
      </w:rPr>
      <w:tcPr>
        <w:tcBorders>
          <w:top w:val="nil"/>
          <w:left w:val="single" w:color="A2C6E7"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Arial" w:hAnsi="Arial"/>
        <w:color w:val="245B8D"/>
        <w:sz w:val="22"/>
      </w:rPr>
      <w:tcPr>
        <w:shd w:val="clear" w:color="DDEAF6" w:fill="DDEAF6"/>
      </w:tcPr>
    </w:tblStylePr>
    <w:tblStylePr w:type="band2Horz">
      <w:rPr>
        <w:rFonts w:ascii="Arial" w:hAnsi="Arial"/>
        <w:color w:val="245B8D"/>
        <w:sz w:val="22"/>
      </w:rPr>
    </w:tblStylePr>
  </w:style>
  <w:style w:type="table" w:customStyle="1" w:styleId="164">
    <w:name w:val="Grid Table 7 Colorful - Accent 6"/>
    <w:basedOn w:val="49"/>
    <w:qFormat/>
    <w:uiPriority w:val="99"/>
    <w:pPr>
      <w:spacing w:after="0" w:line="240" w:lineRule="auto"/>
    </w:pPr>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165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Arial" w:hAnsi="Arial"/>
        <w:b/>
        <w:color w:val="4165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4165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Arial" w:hAnsi="Arial"/>
        <w:i/>
        <w:color w:val="4165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Arial" w:hAnsi="Arial"/>
        <w:color w:val="416529"/>
        <w:sz w:val="22"/>
      </w:rPr>
      <w:tcPr>
        <w:shd w:val="clear" w:color="E1EFD8" w:fill="E1EFD8"/>
      </w:tcPr>
    </w:tblStylePr>
    <w:tblStylePr w:type="band2Horz">
      <w:rPr>
        <w:rFonts w:ascii="Arial" w:hAnsi="Arial"/>
        <w:color w:val="416529"/>
        <w:sz w:val="22"/>
      </w:rPr>
    </w:tblStylePr>
  </w:style>
  <w:style w:type="table" w:customStyle="1" w:styleId="165">
    <w:name w:val="List Table 1 Light"/>
    <w:basedOn w:val="49"/>
    <w:qFormat/>
    <w:uiPriority w:val="99"/>
    <w:pPr>
      <w:spacing w:after="0" w:line="240" w:lineRule="auto"/>
    </w:p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6">
    <w:name w:val="List Table 1 Light - Accent 1"/>
    <w:basedOn w:val="49"/>
    <w:qFormat/>
    <w:uiPriority w:val="99"/>
    <w:pPr>
      <w:spacing w:after="0" w:line="240" w:lineRule="auto"/>
    </w:pPr>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7">
    <w:name w:val="List Table 1 Light - Accent 2"/>
    <w:basedOn w:val="49"/>
    <w:qFormat/>
    <w:uiPriority w:val="99"/>
    <w:pPr>
      <w:spacing w:after="0" w:line="240" w:lineRule="auto"/>
    </w:pPr>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8">
    <w:name w:val="List Table 1 Light - Accent 3"/>
    <w:basedOn w:val="49"/>
    <w:qFormat/>
    <w:uiPriority w:val="99"/>
    <w:pPr>
      <w:spacing w:after="0" w:line="240" w:lineRule="auto"/>
    </w:pPr>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9">
    <w:name w:val="List Table 1 Light - Accent 4"/>
    <w:basedOn w:val="49"/>
    <w:qFormat/>
    <w:uiPriority w:val="99"/>
    <w:pPr>
      <w:spacing w:after="0" w:line="240" w:lineRule="auto"/>
    </w:pPr>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0">
    <w:name w:val="List Table 1 Light - Accent 5"/>
    <w:basedOn w:val="49"/>
    <w:qFormat/>
    <w:uiPriority w:val="99"/>
    <w:pPr>
      <w:spacing w:after="0" w:line="240" w:lineRule="auto"/>
    </w:pPr>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71">
    <w:name w:val="List Table 1 Light - Accent 6"/>
    <w:basedOn w:val="49"/>
    <w:qFormat/>
    <w:uiPriority w:val="99"/>
    <w:pPr>
      <w:spacing w:after="0" w:line="240" w:lineRule="auto"/>
    </w:pPr>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2">
    <w:name w:val="List Table 2"/>
    <w:basedOn w:val="49"/>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3">
    <w:name w:val="List Table 2 - Accent 1"/>
    <w:basedOn w:val="49"/>
    <w:qFormat/>
    <w:uiPriority w:val="99"/>
    <w:pPr>
      <w:spacing w:after="0" w:line="240" w:lineRule="auto"/>
    </w:pPr>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Arial" w:hAnsi="Arial"/>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74">
    <w:name w:val="List Table 2 - Accent 2"/>
    <w:basedOn w:val="49"/>
    <w:qFormat/>
    <w:uiPriority w:val="99"/>
    <w:pPr>
      <w:spacing w:after="0" w:line="240" w:lineRule="auto"/>
    </w:pPr>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Arial" w:hAnsi="Arial"/>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75">
    <w:name w:val="List Table 2 - Accent 3"/>
    <w:basedOn w:val="49"/>
    <w:qFormat/>
    <w:uiPriority w:val="99"/>
    <w:pPr>
      <w:spacing w:after="0" w:line="240" w:lineRule="auto"/>
    </w:pPr>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Arial" w:hAnsi="Arial"/>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76">
    <w:name w:val="List Table 2 - Accent 4"/>
    <w:basedOn w:val="49"/>
    <w:qFormat/>
    <w:uiPriority w:val="99"/>
    <w:pPr>
      <w:spacing w:after="0" w:line="240" w:lineRule="auto"/>
    </w:pPr>
    <w:tblPr>
      <w:tblBorders>
        <w:top w:val="single" w:color="FFDB6E" w:sz="4" w:space="0"/>
        <w:bottom w:val="single" w:color="FFDB6E" w:sz="4" w:space="0"/>
        <w:insideH w:val="single" w:color="FFDB6E" w:sz="4" w:space="0"/>
      </w:tblBorders>
    </w:tblPr>
    <w:tblStylePr w:type="firstRow">
      <w:rPr>
        <w:rFonts w:ascii="Arial" w:hAnsi="Arial"/>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Arial" w:hAnsi="Arial"/>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77">
    <w:name w:val="List Table 2 - Accent 5"/>
    <w:basedOn w:val="49"/>
    <w:qFormat/>
    <w:uiPriority w:val="99"/>
    <w:pPr>
      <w:spacing w:after="0" w:line="240" w:lineRule="auto"/>
    </w:pPr>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Arial" w:hAnsi="Arial"/>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78">
    <w:name w:val="List Table 2 - Accent 6"/>
    <w:basedOn w:val="49"/>
    <w:qFormat/>
    <w:uiPriority w:val="99"/>
    <w:pPr>
      <w:spacing w:after="0" w:line="240" w:lineRule="auto"/>
    </w:pPr>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Arial" w:hAnsi="Arial"/>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79">
    <w:name w:val="List Table 3"/>
    <w:basedOn w:val="49"/>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0">
    <w:name w:val="List Table 3 - Accent 1"/>
    <w:basedOn w:val="49"/>
    <w:qFormat/>
    <w:uiPriority w:val="99"/>
    <w:pPr>
      <w:spacing w:after="0" w:line="240" w:lineRule="auto"/>
    </w:pPr>
    <w:tblPr>
      <w:tblBorders>
        <w:top w:val="single" w:color="4472C4" w:sz="4" w:space="0"/>
        <w:left w:val="single" w:color="4472C4" w:sz="4" w:space="0"/>
        <w:bottom w:val="single" w:color="4472C4" w:sz="4" w:space="0"/>
        <w:right w:val="single" w:color="4472C4"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472C4" w:sz="4" w:space="0"/>
          <w:bottom w:val="nil"/>
          <w:right w:val="single" w:color="4472C4" w:sz="4" w:space="0"/>
          <w:insideH w:val="nil"/>
          <w:insideV w:val="nil"/>
          <w:tl2br w:val="nil"/>
          <w:tr2bl w:val="nil"/>
        </w:tcBorders>
      </w:tcPr>
    </w:tblStylePr>
    <w:tblStylePr w:type="band1Horz">
      <w:rPr>
        <w:rFonts w:ascii="Arial" w:hAnsi="Arial"/>
        <w:color w:val="404040"/>
        <w:sz w:val="22"/>
      </w:rPr>
      <w:tcPr>
        <w:tcBorders>
          <w:top w:val="single" w:color="4472C4" w:sz="4" w:space="0"/>
          <w:left w:val="nil"/>
          <w:bottom w:val="single" w:color="4472C4" w:sz="4" w:space="0"/>
          <w:right w:val="nil"/>
          <w:insideH w:val="nil"/>
          <w:insideV w:val="nil"/>
          <w:tl2br w:val="nil"/>
          <w:tr2bl w:val="nil"/>
        </w:tcBorders>
      </w:tcPr>
    </w:tblStylePr>
  </w:style>
  <w:style w:type="table" w:customStyle="1" w:styleId="181">
    <w:name w:val="List Table 3 - Accent 2"/>
    <w:basedOn w:val="49"/>
    <w:qFormat/>
    <w:uiPriority w:val="99"/>
    <w:pPr>
      <w:spacing w:after="0" w:line="240" w:lineRule="auto"/>
    </w:pPr>
    <w:tblPr>
      <w:tblBorders>
        <w:top w:val="single" w:color="F4B285" w:sz="4" w:space="0"/>
        <w:left w:val="single" w:color="F4B285" w:sz="4" w:space="0"/>
        <w:bottom w:val="single" w:color="F4B285" w:sz="4" w:space="0"/>
        <w:right w:val="single" w:color="F4B285" w:sz="4" w:space="0"/>
      </w:tblBorders>
    </w:tblPr>
    <w:tblStylePr w:type="firstRow">
      <w:rPr>
        <w:rFonts w:ascii="Arial" w:hAnsi="Arial"/>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Arial" w:hAnsi="Arial"/>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2">
    <w:name w:val="List Table 3 - Accent 3"/>
    <w:basedOn w:val="49"/>
    <w:qFormat/>
    <w:uiPriority w:val="99"/>
    <w:pPr>
      <w:spacing w:after="0" w:line="240" w:lineRule="auto"/>
    </w:pPr>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Arial" w:hAnsi="Arial"/>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3">
    <w:name w:val="List Table 3 - Accent 4"/>
    <w:basedOn w:val="49"/>
    <w:qFormat/>
    <w:uiPriority w:val="99"/>
    <w:pPr>
      <w:spacing w:after="0" w:line="240" w:lineRule="auto"/>
    </w:pPr>
    <w:tblPr>
      <w:tblBorders>
        <w:top w:val="single" w:color="FFD864" w:sz="4" w:space="0"/>
        <w:left w:val="single" w:color="FFD864" w:sz="4" w:space="0"/>
        <w:bottom w:val="single" w:color="FFD864" w:sz="4" w:space="0"/>
        <w:right w:val="single" w:color="FFD864" w:sz="4" w:space="0"/>
      </w:tblBorders>
    </w:tblPr>
    <w:tblStylePr w:type="firstRow">
      <w:rPr>
        <w:rFonts w:ascii="Arial" w:hAnsi="Arial"/>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Arial" w:hAnsi="Arial"/>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4">
    <w:name w:val="List Table 3 - Accent 5"/>
    <w:basedOn w:val="49"/>
    <w:qFormat/>
    <w:uiPriority w:val="99"/>
    <w:pPr>
      <w:spacing w:after="0" w:line="240" w:lineRule="auto"/>
    </w:pPr>
    <w:tblPr>
      <w:tblBorders>
        <w:top w:val="single" w:color="9BC2E5" w:sz="4" w:space="0"/>
        <w:left w:val="single" w:color="9BC2E5" w:sz="4" w:space="0"/>
        <w:bottom w:val="single" w:color="9BC2E5" w:sz="4" w:space="0"/>
        <w:right w:val="single" w:color="9BC2E5" w:sz="4" w:space="0"/>
      </w:tblBorders>
    </w:tblPr>
    <w:tblStylePr w:type="firstRow">
      <w:rPr>
        <w:rFonts w:ascii="Arial" w:hAnsi="Arial"/>
        <w:b/>
        <w:color w:val="FFFFFF"/>
        <w:sz w:val="22"/>
      </w:r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BC2E5" w:sz="4" w:space="0"/>
          <w:bottom w:val="nil"/>
          <w:right w:val="single" w:color="9BC2E5" w:sz="4" w:space="0"/>
          <w:insideH w:val="nil"/>
          <w:insideV w:val="nil"/>
          <w:tl2br w:val="nil"/>
          <w:tr2bl w:val="nil"/>
        </w:tcBorders>
      </w:tcPr>
    </w:tblStylePr>
    <w:tblStylePr w:type="band1Horz">
      <w:rPr>
        <w:rFonts w:ascii="Arial" w:hAnsi="Arial"/>
        <w:color w:val="404040"/>
        <w:sz w:val="22"/>
      </w:rPr>
      <w:tcPr>
        <w:tcBorders>
          <w:top w:val="single" w:color="9BC2E5" w:sz="4" w:space="0"/>
          <w:left w:val="nil"/>
          <w:bottom w:val="single" w:color="9BC2E5" w:sz="4" w:space="0"/>
          <w:right w:val="nil"/>
          <w:insideH w:val="nil"/>
          <w:insideV w:val="nil"/>
          <w:tl2br w:val="nil"/>
          <w:tr2bl w:val="nil"/>
        </w:tcBorders>
      </w:tcPr>
    </w:tblStylePr>
  </w:style>
  <w:style w:type="table" w:customStyle="1" w:styleId="185">
    <w:name w:val="List Table 3 - Accent 6"/>
    <w:basedOn w:val="49"/>
    <w:qFormat/>
    <w:uiPriority w:val="99"/>
    <w:pPr>
      <w:spacing w:after="0" w:line="240" w:lineRule="auto"/>
    </w:pPr>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Arial" w:hAnsi="Arial"/>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6">
    <w:name w:val="List Table 4"/>
    <w:basedOn w:val="49"/>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7">
    <w:name w:val="List Table 4 - Accent 1"/>
    <w:basedOn w:val="49"/>
    <w:qFormat/>
    <w:uiPriority w:val="99"/>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88">
    <w:name w:val="List Table 4 - Accent 2"/>
    <w:basedOn w:val="49"/>
    <w:qFormat/>
    <w:uiPriority w:val="99"/>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89">
    <w:name w:val="List Table 4 - Accent 3"/>
    <w:basedOn w:val="49"/>
    <w:qFormat/>
    <w:uiPriority w:val="99"/>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90">
    <w:name w:val="List Table 4 - Accent 4"/>
    <w:basedOn w:val="49"/>
    <w:qFormat/>
    <w:uiPriority w:val="99"/>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91">
    <w:name w:val="List Table 4 - Accent 5"/>
    <w:basedOn w:val="49"/>
    <w:qFormat/>
    <w:uiPriority w:val="99"/>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92">
    <w:name w:val="List Table 4 - Accent 6"/>
    <w:basedOn w:val="49"/>
    <w:qFormat/>
    <w:uiPriority w:val="99"/>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93">
    <w:name w:val="List Table 5 Dark"/>
    <w:basedOn w:val="49"/>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4">
    <w:name w:val="List Table 5 Dark - Accent 1"/>
    <w:basedOn w:val="49"/>
    <w:qFormat/>
    <w:uiPriority w:val="99"/>
    <w:pPr>
      <w:spacing w:after="0" w:line="240" w:lineRule="auto"/>
    </w:pPr>
    <w:tblPr>
      <w:tblBorders>
        <w:top w:val="single" w:color="4472C4" w:sz="32" w:space="0"/>
        <w:left w:val="single" w:color="4472C4" w:sz="32" w:space="0"/>
        <w:bottom w:val="single" w:color="4472C4" w:sz="32" w:space="0"/>
        <w:right w:val="single" w:color="4472C4" w:sz="32" w:space="0"/>
      </w:tblBorders>
    </w:tblPr>
    <w:tblStylePr w:type="firstRow">
      <w:rPr>
        <w:rFonts w:ascii="Arial" w:hAnsi="Arial"/>
        <w:b/>
        <w:color w:val="FFFFFF"/>
        <w:sz w:val="22"/>
      </w:rPr>
      <w:tcPr>
        <w:tcBorders>
          <w:top w:val="single" w:color="4472C4" w:sz="32" w:space="0"/>
          <w:left w:val="nil"/>
          <w:bottom w:val="single" w:color="FFFFFF" w:sz="12" w:space="0"/>
          <w:right w:val="nil"/>
          <w:insideH w:val="nil"/>
          <w:insideV w:val="nil"/>
          <w:tl2br w:val="nil"/>
          <w:tr2bl w:val="nil"/>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472C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472C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472C4" w:fill="4472C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472C4" w:fill="4472C4"/>
      </w:tcPr>
    </w:tblStylePr>
    <w:tblStylePr w:type="band2Horz">
      <w:tcPr>
        <w:tcBorders>
          <w:top w:val="single" w:color="FFFFFF" w:sz="4" w:space="0"/>
          <w:left w:val="nil"/>
          <w:bottom w:val="single" w:color="FFFFFF" w:sz="4" w:space="0"/>
          <w:right w:val="nil"/>
          <w:insideH w:val="nil"/>
          <w:insideV w:val="nil"/>
          <w:tl2br w:val="nil"/>
          <w:tr2bl w:val="nil"/>
        </w:tcBorders>
        <w:shd w:val="clear" w:color="4472C4" w:fill="4472C4"/>
      </w:tcPr>
    </w:tblStylePr>
  </w:style>
  <w:style w:type="table" w:customStyle="1" w:styleId="195">
    <w:name w:val="List Table 5 Dark - Accent 2"/>
    <w:basedOn w:val="49"/>
    <w:qFormat/>
    <w:uiPriority w:val="99"/>
    <w:pPr>
      <w:spacing w:after="0" w:line="240" w:lineRule="auto"/>
    </w:pPr>
    <w:tblPr>
      <w:tblBorders>
        <w:top w:val="single" w:color="F4B285" w:sz="32" w:space="0"/>
        <w:left w:val="single" w:color="F4B285" w:sz="32" w:space="0"/>
        <w:bottom w:val="single" w:color="F4B285" w:sz="32" w:space="0"/>
        <w:right w:val="single" w:color="F4B285" w:sz="32" w:space="0"/>
      </w:tblBorders>
    </w:tblPr>
    <w:tblStylePr w:type="firstRow">
      <w:rPr>
        <w:rFonts w:ascii="Arial" w:hAnsi="Arial"/>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6">
    <w:name w:val="List Table 5 Dark - Accent 3"/>
    <w:basedOn w:val="49"/>
    <w:qFormat/>
    <w:uiPriority w:val="99"/>
    <w:pPr>
      <w:spacing w:after="0" w:line="240" w:lineRule="auto"/>
    </w:pPr>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7">
    <w:name w:val="List Table 5 Dark - Accent 4"/>
    <w:basedOn w:val="49"/>
    <w:qFormat/>
    <w:uiPriority w:val="99"/>
    <w:pPr>
      <w:spacing w:after="0" w:line="240" w:lineRule="auto"/>
    </w:pPr>
    <w:tblPr>
      <w:tblBorders>
        <w:top w:val="single" w:color="FFD864" w:sz="32" w:space="0"/>
        <w:left w:val="single" w:color="FFD864" w:sz="32" w:space="0"/>
        <w:bottom w:val="single" w:color="FFD864" w:sz="32" w:space="0"/>
        <w:right w:val="single" w:color="FFD864" w:sz="32" w:space="0"/>
      </w:tblBorders>
    </w:tblPr>
    <w:tblStylePr w:type="firstRow">
      <w:rPr>
        <w:rFonts w:ascii="Arial" w:hAnsi="Arial"/>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8">
    <w:name w:val="List Table 5 Dark - Accent 5"/>
    <w:basedOn w:val="49"/>
    <w:qFormat/>
    <w:uiPriority w:val="99"/>
    <w:pPr>
      <w:spacing w:after="0" w:line="240" w:lineRule="auto"/>
    </w:pPr>
    <w:tblPr>
      <w:tblBorders>
        <w:top w:val="single" w:color="9BC2E5" w:sz="32" w:space="0"/>
        <w:left w:val="single" w:color="9BC2E5" w:sz="32" w:space="0"/>
        <w:bottom w:val="single" w:color="9BC2E5" w:sz="32" w:space="0"/>
        <w:right w:val="single" w:color="9BC2E5" w:sz="32" w:space="0"/>
      </w:tblBorders>
    </w:tblPr>
    <w:tblStylePr w:type="firstRow">
      <w:rPr>
        <w:rFonts w:ascii="Arial" w:hAnsi="Arial"/>
        <w:b/>
        <w:color w:val="FFFFFF"/>
        <w:sz w:val="22"/>
      </w:rPr>
      <w:tcPr>
        <w:tcBorders>
          <w:top w:val="single" w:color="9BC2E5" w:sz="32" w:space="0"/>
          <w:left w:val="nil"/>
          <w:bottom w:val="single" w:color="FFFFFF" w:sz="12" w:space="0"/>
          <w:right w:val="nil"/>
          <w:insideH w:val="nil"/>
          <w:insideV w:val="nil"/>
          <w:tl2br w:val="nil"/>
          <w:tr2bl w:val="nil"/>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BC2E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BC2E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BC2E5" w:fill="9BC2E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BC2E5" w:fill="9BC2E5"/>
      </w:tcPr>
    </w:tblStylePr>
    <w:tblStylePr w:type="band2Horz">
      <w:tcPr>
        <w:tcBorders>
          <w:top w:val="single" w:color="FFFFFF" w:sz="4" w:space="0"/>
          <w:left w:val="nil"/>
          <w:bottom w:val="single" w:color="FFFFFF" w:sz="4" w:space="0"/>
          <w:right w:val="nil"/>
          <w:insideH w:val="nil"/>
          <w:insideV w:val="nil"/>
          <w:tl2br w:val="nil"/>
          <w:tr2bl w:val="nil"/>
        </w:tcBorders>
        <w:shd w:val="clear" w:color="9BC2E5" w:fill="9BC2E5"/>
      </w:tcPr>
    </w:tblStylePr>
  </w:style>
  <w:style w:type="table" w:customStyle="1" w:styleId="199">
    <w:name w:val="List Table 5 Dark - Accent 6"/>
    <w:basedOn w:val="49"/>
    <w:qFormat/>
    <w:uiPriority w:val="99"/>
    <w:pPr>
      <w:spacing w:after="0" w:line="240" w:lineRule="auto"/>
    </w:pPr>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00">
    <w:name w:val="List Table 6 Colorful"/>
    <w:basedOn w:val="49"/>
    <w:qFormat/>
    <w:uiPriority w:val="99"/>
    <w:pPr>
      <w:spacing w:after="0" w:line="240" w:lineRule="auto"/>
    </w:pPr>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201">
    <w:name w:val="List Table 6 Colorful - Accent 1"/>
    <w:basedOn w:val="49"/>
    <w:qFormat/>
    <w:uiPriority w:val="99"/>
    <w:pPr>
      <w:spacing w:after="0" w:line="240" w:lineRule="auto"/>
    </w:pPr>
    <w:tblPr>
      <w:tblBorders>
        <w:top w:val="single" w:color="4472C4" w:sz="4" w:space="0"/>
        <w:bottom w:val="single" w:color="4472C4" w:sz="4" w:space="0"/>
      </w:tblBorders>
    </w:tblPr>
    <w:tblStylePr w:type="firstRow">
      <w:rPr>
        <w:b/>
        <w:color w:val="244175"/>
      </w:rPr>
      <w:tcPr>
        <w:tcBorders>
          <w:top w:val="nil"/>
          <w:left w:val="nil"/>
          <w:bottom w:val="single" w:color="4472C4" w:sz="4" w:space="0"/>
          <w:right w:val="nil"/>
          <w:insideH w:val="nil"/>
          <w:insideV w:val="nil"/>
          <w:tl2br w:val="nil"/>
          <w:tr2bl w:val="nil"/>
        </w:tcBorders>
      </w:tcPr>
    </w:tblStylePr>
    <w:tblStylePr w:type="lastRow">
      <w:rPr>
        <w:b/>
        <w:color w:val="244175"/>
      </w:rPr>
      <w:tcPr>
        <w:tcBorders>
          <w:top w:val="single" w:color="4472C4" w:sz="4" w:space="0"/>
          <w:left w:val="nil"/>
          <w:bottom w:val="nil"/>
          <w:right w:val="nil"/>
          <w:insideH w:val="nil"/>
          <w:insideV w:val="nil"/>
          <w:tl2br w:val="nil"/>
          <w:tr2bl w:val="nil"/>
        </w:tcBorders>
      </w:tcPr>
    </w:tblStylePr>
    <w:tblStylePr w:type="firstCol">
      <w:rPr>
        <w:b/>
        <w:color w:val="244175"/>
      </w:rPr>
    </w:tblStylePr>
    <w:tblStylePr w:type="lastCol">
      <w:rPr>
        <w:b/>
        <w:color w:val="244175"/>
      </w:rPr>
    </w:tblStylePr>
    <w:tblStylePr w:type="band1Vert">
      <w:tcPr>
        <w:shd w:val="clear" w:color="D0DBF0" w:fill="D0DBF0"/>
      </w:tcPr>
    </w:tblStylePr>
    <w:tblStylePr w:type="band1Horz">
      <w:rPr>
        <w:rFonts w:ascii="Arial" w:hAnsi="Arial"/>
        <w:color w:val="244175"/>
        <w:sz w:val="22"/>
      </w:rPr>
      <w:tcPr>
        <w:shd w:val="clear" w:color="D0DBF0" w:fill="D0DBF0"/>
      </w:tcPr>
    </w:tblStylePr>
    <w:tblStylePr w:type="band2Horz">
      <w:rPr>
        <w:rFonts w:ascii="Arial" w:hAnsi="Arial"/>
        <w:color w:val="244175"/>
        <w:sz w:val="22"/>
      </w:rPr>
    </w:tblStylePr>
  </w:style>
  <w:style w:type="table" w:customStyle="1" w:styleId="202">
    <w:name w:val="List Table 6 Colorful - Accent 2"/>
    <w:basedOn w:val="49"/>
    <w:qFormat/>
    <w:uiPriority w:val="99"/>
    <w:pPr>
      <w:spacing w:after="0" w:line="240" w:lineRule="auto"/>
    </w:pPr>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03">
    <w:name w:val="List Table 6 Colorful - Accent 3"/>
    <w:basedOn w:val="49"/>
    <w:qFormat/>
    <w:uiPriority w:val="99"/>
    <w:pPr>
      <w:spacing w:after="0" w:line="240" w:lineRule="auto"/>
    </w:pPr>
    <w:tblPr>
      <w:tblBorders>
        <w:top w:val="single" w:color="C9C9C9" w:sz="4" w:space="0"/>
        <w:bottom w:val="single" w:color="C9C9C9" w:sz="4" w:space="0"/>
      </w:tblBorders>
    </w:tblPr>
    <w:tblStylePr w:type="firstRow">
      <w:rPr>
        <w:b/>
        <w:color w:val="C9C9C9"/>
      </w:rPr>
      <w:tcPr>
        <w:tcBorders>
          <w:top w:val="nil"/>
          <w:left w:val="nil"/>
          <w:bottom w:val="single" w:color="C9C9C9" w:sz="4" w:space="0"/>
          <w:right w:val="nil"/>
          <w:insideH w:val="nil"/>
          <w:insideV w:val="nil"/>
          <w:tl2br w:val="nil"/>
          <w:tr2bl w:val="nil"/>
        </w:tcBorders>
      </w:tcPr>
    </w:tblStylePr>
    <w:tblStylePr w:type="lastRow">
      <w:rPr>
        <w:b/>
        <w:color w:val="C9C9C9"/>
      </w:rPr>
      <w:tcPr>
        <w:tcBorders>
          <w:top w:val="single" w:color="C9C9C9" w:sz="4" w:space="0"/>
          <w:left w:val="nil"/>
          <w:bottom w:val="nil"/>
          <w:right w:val="nil"/>
          <w:insideH w:val="nil"/>
          <w:insideV w:val="nil"/>
          <w:tl2br w:val="nil"/>
          <w:tr2bl w:val="nil"/>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04">
    <w:name w:val="List Table 6 Colorful - Accent 4"/>
    <w:basedOn w:val="49"/>
    <w:qFormat/>
    <w:uiPriority w:val="99"/>
    <w:pPr>
      <w:spacing w:after="0" w:line="240" w:lineRule="auto"/>
    </w:pPr>
    <w:tblPr>
      <w:tblBorders>
        <w:top w:val="single" w:color="FFD864" w:sz="4" w:space="0"/>
        <w:bottom w:val="single" w:color="FFD864" w:sz="4" w:space="0"/>
      </w:tblBorders>
    </w:tblPr>
    <w:tblStylePr w:type="firstRow">
      <w:rPr>
        <w:b/>
        <w:color w:val="FFD864"/>
      </w:rPr>
      <w:tcPr>
        <w:tcBorders>
          <w:top w:val="nil"/>
          <w:left w:val="nil"/>
          <w:bottom w:val="single" w:color="FFD864" w:sz="4" w:space="0"/>
          <w:right w:val="nil"/>
          <w:insideH w:val="nil"/>
          <w:insideV w:val="nil"/>
          <w:tl2br w:val="nil"/>
          <w:tr2bl w:val="nil"/>
        </w:tcBorders>
      </w:tcPr>
    </w:tblStylePr>
    <w:tblStylePr w:type="lastRow">
      <w:rPr>
        <w:b/>
        <w:color w:val="FFD864"/>
      </w:rPr>
      <w:tcPr>
        <w:tcBorders>
          <w:top w:val="single" w:color="FFD864" w:sz="4" w:space="0"/>
          <w:left w:val="nil"/>
          <w:bottom w:val="nil"/>
          <w:right w:val="nil"/>
          <w:insideH w:val="nil"/>
          <w:insideV w:val="nil"/>
          <w:tl2br w:val="nil"/>
          <w:tr2bl w:val="nil"/>
        </w:tcBorders>
      </w:tcPr>
    </w:tblStylePr>
    <w:tblStylePr w:type="firstCol">
      <w:rPr>
        <w:b/>
        <w:color w:val="FFD864"/>
      </w:rPr>
    </w:tblStylePr>
    <w:tblStylePr w:type="lastCol">
      <w:rPr>
        <w:b/>
        <w:color w:val="FFD864"/>
      </w:rPr>
    </w:tblStylePr>
    <w:tblStylePr w:type="band1Vert">
      <w:tcPr>
        <w:shd w:val="clear" w:color="FFEFBE" w:fill="FFEFBE"/>
      </w:tcPr>
    </w:tblStylePr>
    <w:tblStylePr w:type="band1Horz">
      <w:rPr>
        <w:rFonts w:ascii="Arial" w:hAnsi="Arial"/>
        <w:color w:val="FFD864"/>
        <w:sz w:val="22"/>
      </w:rPr>
      <w:tcPr>
        <w:shd w:val="clear" w:color="FFEFBE" w:fill="FFEFBE"/>
      </w:tcPr>
    </w:tblStylePr>
    <w:tblStylePr w:type="band2Horz">
      <w:rPr>
        <w:rFonts w:ascii="Arial" w:hAnsi="Arial"/>
        <w:color w:val="FFD864"/>
        <w:sz w:val="22"/>
      </w:rPr>
    </w:tblStylePr>
  </w:style>
  <w:style w:type="table" w:customStyle="1" w:styleId="205">
    <w:name w:val="List Table 6 Colorful - Accent 5"/>
    <w:basedOn w:val="49"/>
    <w:qFormat/>
    <w:uiPriority w:val="99"/>
    <w:pPr>
      <w:spacing w:after="0" w:line="240" w:lineRule="auto"/>
    </w:pPr>
    <w:tblPr>
      <w:tblBorders>
        <w:top w:val="single" w:color="9BC2E5" w:sz="4" w:space="0"/>
        <w:bottom w:val="single" w:color="9BC2E5" w:sz="4" w:space="0"/>
      </w:tblBorders>
    </w:tblPr>
    <w:tblStylePr w:type="firstRow">
      <w:rPr>
        <w:b/>
        <w:color w:val="9BC2E5"/>
      </w:rPr>
      <w:tcPr>
        <w:tcBorders>
          <w:top w:val="nil"/>
          <w:left w:val="nil"/>
          <w:bottom w:val="single" w:color="9BC2E5" w:sz="4" w:space="0"/>
          <w:right w:val="nil"/>
          <w:insideH w:val="nil"/>
          <w:insideV w:val="nil"/>
          <w:tl2br w:val="nil"/>
          <w:tr2bl w:val="nil"/>
        </w:tcBorders>
      </w:tcPr>
    </w:tblStylePr>
    <w:tblStylePr w:type="lastRow">
      <w:rPr>
        <w:b/>
        <w:color w:val="9BC2E5"/>
      </w:rPr>
      <w:tcPr>
        <w:tcBorders>
          <w:top w:val="single" w:color="9BC2E5" w:sz="4" w:space="0"/>
          <w:left w:val="nil"/>
          <w:bottom w:val="nil"/>
          <w:right w:val="nil"/>
          <w:insideH w:val="nil"/>
          <w:insideV w:val="nil"/>
          <w:tl2br w:val="nil"/>
          <w:tr2bl w:val="nil"/>
        </w:tcBorders>
      </w:tcPr>
    </w:tblStylePr>
    <w:tblStylePr w:type="firstCol">
      <w:rPr>
        <w:b/>
        <w:color w:val="9BC2E5"/>
      </w:rPr>
    </w:tblStylePr>
    <w:tblStylePr w:type="lastCol">
      <w:rPr>
        <w:b/>
        <w:color w:val="9BC2E5"/>
      </w:r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206">
    <w:name w:val="List Table 6 Colorful - Accent 6"/>
    <w:basedOn w:val="49"/>
    <w:qFormat/>
    <w:uiPriority w:val="99"/>
    <w:pPr>
      <w:spacing w:after="0" w:line="240" w:lineRule="auto"/>
    </w:pPr>
    <w:tblPr>
      <w:tblBorders>
        <w:top w:val="single" w:color="A9D08E" w:sz="4" w:space="0"/>
        <w:bottom w:val="single" w:color="A9D08E" w:sz="4" w:space="0"/>
      </w:tblBorders>
    </w:tblPr>
    <w:tblStylePr w:type="firstRow">
      <w:rPr>
        <w:b/>
        <w:color w:val="A9D08E"/>
      </w:rPr>
      <w:tcPr>
        <w:tcBorders>
          <w:top w:val="nil"/>
          <w:left w:val="nil"/>
          <w:bottom w:val="single" w:color="A9D08E" w:sz="4" w:space="0"/>
          <w:right w:val="nil"/>
          <w:insideH w:val="nil"/>
          <w:insideV w:val="nil"/>
          <w:tl2br w:val="nil"/>
          <w:tr2bl w:val="nil"/>
        </w:tcBorders>
      </w:tcPr>
    </w:tblStylePr>
    <w:tblStylePr w:type="lastRow">
      <w:rPr>
        <w:b/>
        <w:color w:val="A9D08E"/>
      </w:rPr>
      <w:tcPr>
        <w:tcBorders>
          <w:top w:val="single" w:color="A9D08E" w:sz="4" w:space="0"/>
          <w:left w:val="nil"/>
          <w:bottom w:val="nil"/>
          <w:right w:val="nil"/>
          <w:insideH w:val="nil"/>
          <w:insideV w:val="nil"/>
          <w:tl2br w:val="nil"/>
          <w:tr2bl w:val="nil"/>
        </w:tcBorders>
      </w:tcPr>
    </w:tblStylePr>
    <w:tblStylePr w:type="firstCol">
      <w:rPr>
        <w:b/>
        <w:color w:val="A9D08E"/>
      </w:rPr>
    </w:tblStylePr>
    <w:tblStylePr w:type="lastCol">
      <w:rPr>
        <w:b/>
        <w:color w:val="A9D08E"/>
      </w:r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207">
    <w:name w:val="List Table 7 Colorful"/>
    <w:basedOn w:val="49"/>
    <w:qFormat/>
    <w:uiPriority w:val="99"/>
    <w:pPr>
      <w:spacing w:after="0" w:line="240" w:lineRule="auto"/>
    </w:pPr>
    <w:tblPr>
      <w:tblBorders>
        <w:right w:val="single" w:color="7E7E7E" w:sz="4" w:space="0"/>
      </w:tblBorders>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208">
    <w:name w:val="List Table 7 Colorful - Accent 1"/>
    <w:basedOn w:val="49"/>
    <w:qFormat/>
    <w:uiPriority w:val="99"/>
    <w:pPr>
      <w:spacing w:after="0" w:line="240" w:lineRule="auto"/>
    </w:pPr>
    <w:tblPr>
      <w:tblBorders>
        <w:right w:val="single" w:color="4472C4" w:sz="4" w:space="0"/>
      </w:tblBorders>
    </w:tblPr>
    <w:tblStylePr w:type="firstRow">
      <w:rPr>
        <w:rFonts w:ascii="Arial" w:hAnsi="Arial"/>
        <w:i/>
        <w:color w:val="244175"/>
        <w:sz w:val="22"/>
      </w:rPr>
      <w:tcPr>
        <w:tcBorders>
          <w:top w:val="nil"/>
          <w:left w:val="nil"/>
          <w:bottom w:val="single" w:color="4472C4" w:sz="4" w:space="0"/>
          <w:right w:val="nil"/>
          <w:insideH w:val="nil"/>
          <w:insideV w:val="nil"/>
          <w:tl2br w:val="nil"/>
          <w:tr2bl w:val="nil"/>
        </w:tcBorders>
        <w:shd w:val="clear" w:color="FFFFFF" w:fill="FFFFFF"/>
      </w:tcPr>
    </w:tblStylePr>
    <w:tblStylePr w:type="lastRow">
      <w:rPr>
        <w:rFonts w:ascii="Arial" w:hAnsi="Arial"/>
        <w:i/>
        <w:color w:val="244175"/>
        <w:sz w:val="22"/>
      </w:rPr>
      <w:tcPr>
        <w:tcBorders>
          <w:top w:val="single" w:color="4472C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44175"/>
        <w:sz w:val="22"/>
      </w:rPr>
      <w:tcPr>
        <w:tcBorders>
          <w:top w:val="nil"/>
          <w:left w:val="nil"/>
          <w:bottom w:val="nil"/>
          <w:right w:val="single" w:color="4472C4" w:sz="4" w:space="0"/>
          <w:insideH w:val="nil"/>
          <w:insideV w:val="nil"/>
          <w:tl2br w:val="nil"/>
          <w:tr2bl w:val="nil"/>
        </w:tcBorders>
        <w:shd w:val="clear" w:color="FFFFFF" w:fill="auto"/>
      </w:tcPr>
    </w:tblStylePr>
    <w:tblStylePr w:type="lastCol">
      <w:rPr>
        <w:rFonts w:ascii="Arial" w:hAnsi="Arial"/>
        <w:i/>
        <w:color w:val="244175"/>
        <w:sz w:val="22"/>
      </w:rPr>
      <w:tcPr>
        <w:tcBorders>
          <w:top w:val="nil"/>
          <w:left w:val="single" w:color="4472C4"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Arial" w:hAnsi="Arial"/>
        <w:color w:val="244175"/>
        <w:sz w:val="22"/>
      </w:rPr>
      <w:tcPr>
        <w:shd w:val="clear" w:color="D0DBF0" w:fill="D0DBF0"/>
      </w:tcPr>
    </w:tblStylePr>
    <w:tblStylePr w:type="band2Horz">
      <w:rPr>
        <w:rFonts w:ascii="Arial" w:hAnsi="Arial"/>
        <w:color w:val="244175"/>
        <w:sz w:val="22"/>
      </w:rPr>
    </w:tblStylePr>
  </w:style>
  <w:style w:type="table" w:customStyle="1" w:styleId="209">
    <w:name w:val="List Table 7 Colorful - Accent 2"/>
    <w:basedOn w:val="49"/>
    <w:qFormat/>
    <w:uiPriority w:val="99"/>
    <w:pPr>
      <w:spacing w:after="0" w:line="240" w:lineRule="auto"/>
    </w:pPr>
    <w:tblPr>
      <w:tblBorders>
        <w:right w:val="single" w:color="F4B285" w:sz="4" w:space="0"/>
      </w:tblBorders>
    </w:tblPr>
    <w:tblStylePr w:type="firstRow">
      <w:rPr>
        <w:rFonts w:ascii="Arial" w:hAnsi="Arial"/>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Arial" w:hAnsi="Arial"/>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Arial" w:hAnsi="Arial"/>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10">
    <w:name w:val="List Table 7 Colorful - Accent 3"/>
    <w:basedOn w:val="49"/>
    <w:qFormat/>
    <w:uiPriority w:val="99"/>
    <w:pPr>
      <w:spacing w:after="0" w:line="240" w:lineRule="auto"/>
    </w:pPr>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Arial" w:hAnsi="Arial"/>
        <w:i/>
        <w:color w:val="C9C9C9"/>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11">
    <w:name w:val="List Table 7 Colorful - Accent 4"/>
    <w:basedOn w:val="49"/>
    <w:qFormat/>
    <w:uiPriority w:val="99"/>
    <w:pPr>
      <w:spacing w:after="0" w:line="240" w:lineRule="auto"/>
    </w:pPr>
    <w:tblPr>
      <w:tblBorders>
        <w:right w:val="single" w:color="FFD864" w:sz="4" w:space="0"/>
      </w:tblBorders>
    </w:tblPr>
    <w:tblStylePr w:type="firstRow">
      <w:rPr>
        <w:rFonts w:ascii="Arial" w:hAnsi="Arial"/>
        <w:i/>
        <w:color w:val="FFD864"/>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Arial" w:hAnsi="Arial"/>
        <w:i/>
        <w:color w:val="FFD864"/>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FD864"/>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Arial" w:hAnsi="Arial"/>
        <w:i/>
        <w:color w:val="FFD864"/>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Arial" w:hAnsi="Arial"/>
        <w:color w:val="FFD864"/>
        <w:sz w:val="22"/>
      </w:rPr>
      <w:tcPr>
        <w:shd w:val="clear" w:color="FFEFBE" w:fill="FFEFBE"/>
      </w:tcPr>
    </w:tblStylePr>
    <w:tblStylePr w:type="band2Horz">
      <w:rPr>
        <w:rFonts w:ascii="Arial" w:hAnsi="Arial"/>
        <w:color w:val="FFD864"/>
        <w:sz w:val="22"/>
      </w:rPr>
    </w:tblStylePr>
  </w:style>
  <w:style w:type="table" w:customStyle="1" w:styleId="212">
    <w:name w:val="List Table 7 Colorful - Accent 5"/>
    <w:basedOn w:val="49"/>
    <w:qFormat/>
    <w:uiPriority w:val="99"/>
    <w:pPr>
      <w:spacing w:after="0" w:line="240" w:lineRule="auto"/>
    </w:pPr>
    <w:tblPr>
      <w:tblBorders>
        <w:right w:val="single" w:color="9BC2E5" w:sz="4" w:space="0"/>
      </w:tblBorders>
    </w:tblPr>
    <w:tblStylePr w:type="firstRow">
      <w:rPr>
        <w:rFonts w:ascii="Arial" w:hAnsi="Arial"/>
        <w:i/>
        <w:color w:val="9BC2E5"/>
        <w:sz w:val="22"/>
      </w:rPr>
      <w:tcPr>
        <w:tcBorders>
          <w:top w:val="nil"/>
          <w:left w:val="nil"/>
          <w:bottom w:val="single" w:color="9BC2E5" w:sz="4" w:space="0"/>
          <w:right w:val="nil"/>
          <w:insideH w:val="nil"/>
          <w:insideV w:val="nil"/>
          <w:tl2br w:val="nil"/>
          <w:tr2bl w:val="nil"/>
        </w:tcBorders>
        <w:shd w:val="clear" w:color="FFFFFF" w:fill="FFFFFF"/>
      </w:tcPr>
    </w:tblStylePr>
    <w:tblStylePr w:type="lastRow">
      <w:rPr>
        <w:rFonts w:ascii="Arial" w:hAnsi="Arial"/>
        <w:i/>
        <w:color w:val="9BC2E5"/>
        <w:sz w:val="22"/>
      </w:rPr>
      <w:tcPr>
        <w:tcBorders>
          <w:top w:val="single" w:color="9BC2E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C2E5"/>
        <w:sz w:val="22"/>
      </w:rPr>
      <w:tcPr>
        <w:tcBorders>
          <w:top w:val="nil"/>
          <w:left w:val="nil"/>
          <w:bottom w:val="nil"/>
          <w:right w:val="single" w:color="9BC2E5" w:sz="4" w:space="0"/>
          <w:insideH w:val="nil"/>
          <w:insideV w:val="nil"/>
          <w:tl2br w:val="nil"/>
          <w:tr2bl w:val="nil"/>
        </w:tcBorders>
        <w:shd w:val="clear" w:color="FFFFFF" w:fill="auto"/>
      </w:tcPr>
    </w:tblStylePr>
    <w:tblStylePr w:type="lastCol">
      <w:rPr>
        <w:rFonts w:ascii="Arial" w:hAnsi="Arial"/>
        <w:i/>
        <w:color w:val="9BC2E5"/>
        <w:sz w:val="22"/>
      </w:rPr>
      <w:tcPr>
        <w:tcBorders>
          <w:top w:val="nil"/>
          <w:left w:val="single" w:color="9BC2E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213">
    <w:name w:val="List Table 7 Colorful - Accent 6"/>
    <w:basedOn w:val="49"/>
    <w:qFormat/>
    <w:uiPriority w:val="99"/>
    <w:pPr>
      <w:spacing w:after="0" w:line="240" w:lineRule="auto"/>
    </w:pPr>
    <w:tblPr>
      <w:tblBorders>
        <w:right w:val="single" w:color="A9D08E" w:sz="4" w:space="0"/>
      </w:tblBorders>
    </w:tblPr>
    <w:tblStylePr w:type="firstRow">
      <w:rPr>
        <w:rFonts w:ascii="Arial" w:hAnsi="Arial"/>
        <w:i/>
        <w:color w:val="A9D08E"/>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Arial" w:hAnsi="Arial"/>
        <w:i/>
        <w:color w:val="A9D08E"/>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9D08E"/>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Arial" w:hAnsi="Arial"/>
        <w:i/>
        <w:color w:val="A9D08E"/>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214">
    <w:name w:val="Lined - Accent"/>
    <w:basedOn w:val="49"/>
    <w:qForma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5">
    <w:name w:val="Lined - Accent 1"/>
    <w:basedOn w:val="49"/>
    <w:qFormat/>
    <w:uiPriority w:val="99"/>
    <w:pPr>
      <w:spacing w:after="0" w:line="240" w:lineRule="auto"/>
    </w:pPr>
    <w:rPr>
      <w:color w:val="404040"/>
    </w:r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216">
    <w:name w:val="Lined - Accent 2"/>
    <w:basedOn w:val="49"/>
    <w:qFormat/>
    <w:uiPriority w:val="99"/>
    <w:pPr>
      <w:spacing w:after="0" w:line="240" w:lineRule="auto"/>
    </w:pPr>
    <w:rPr>
      <w:color w:val="404040"/>
    </w:r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17">
    <w:name w:val="Lined - Accent 3"/>
    <w:basedOn w:val="49"/>
    <w:qFormat/>
    <w:uiPriority w:val="99"/>
    <w:pPr>
      <w:spacing w:after="0" w:line="240" w:lineRule="auto"/>
    </w:pPr>
    <w:rPr>
      <w:color w:val="404040"/>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18">
    <w:name w:val="Lined - Accent 4"/>
    <w:basedOn w:val="49"/>
    <w:qFormat/>
    <w:uiPriority w:val="99"/>
    <w:pPr>
      <w:spacing w:after="0" w:line="240" w:lineRule="auto"/>
    </w:pPr>
    <w:rPr>
      <w:color w:val="404040"/>
    </w:r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19">
    <w:name w:val="Lined - Accent 5"/>
    <w:basedOn w:val="49"/>
    <w:qFormat/>
    <w:uiPriority w:val="99"/>
    <w:pPr>
      <w:spacing w:after="0" w:line="240" w:lineRule="auto"/>
    </w:pPr>
    <w:rPr>
      <w:color w:val="404040"/>
    </w:r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220">
    <w:name w:val="Lined - Accent 6"/>
    <w:basedOn w:val="49"/>
    <w:qFormat/>
    <w:uiPriority w:val="99"/>
    <w:pPr>
      <w:spacing w:after="0" w:line="240" w:lineRule="auto"/>
    </w:pPr>
    <w:rPr>
      <w:color w:val="404040"/>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1">
    <w:name w:val="Bordered &amp; Lined - Accent"/>
    <w:basedOn w:val="49"/>
    <w:qFormat/>
    <w:uiPriority w:val="99"/>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2">
    <w:name w:val="Bordered &amp; Lined - Accent 1"/>
    <w:basedOn w:val="49"/>
    <w:qFormat/>
    <w:uiPriority w:val="99"/>
    <w:pPr>
      <w:spacing w:after="0" w:line="240" w:lineRule="auto"/>
    </w:pPr>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223">
    <w:name w:val="Bordered &amp; Lined - Accent 2"/>
    <w:basedOn w:val="49"/>
    <w:qFormat/>
    <w:uiPriority w:val="99"/>
    <w:pPr>
      <w:spacing w:after="0" w:line="240" w:lineRule="auto"/>
    </w:pPr>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24">
    <w:name w:val="Bordered &amp; Lined - Accent 3"/>
    <w:basedOn w:val="49"/>
    <w:qFormat/>
    <w:uiPriority w:val="99"/>
    <w:pPr>
      <w:spacing w:after="0" w:line="240" w:lineRule="auto"/>
    </w:pPr>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25">
    <w:name w:val="Bordered &amp; Lined - Accent 4"/>
    <w:basedOn w:val="49"/>
    <w:qFormat/>
    <w:uiPriority w:val="99"/>
    <w:pPr>
      <w:spacing w:after="0" w:line="240" w:lineRule="auto"/>
    </w:pPr>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26">
    <w:name w:val="Bordered &amp; Lined - Accent 5"/>
    <w:basedOn w:val="49"/>
    <w:qFormat/>
    <w:uiPriority w:val="99"/>
    <w:pPr>
      <w:spacing w:after="0" w:line="240" w:lineRule="auto"/>
    </w:pPr>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227">
    <w:name w:val="Bordered &amp; Lined - Accent 6"/>
    <w:basedOn w:val="49"/>
    <w:qFormat/>
    <w:uiPriority w:val="99"/>
    <w:pPr>
      <w:spacing w:after="0" w:line="240" w:lineRule="auto"/>
    </w:pPr>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8">
    <w:name w:val="Bordered"/>
    <w:basedOn w:val="49"/>
    <w:qFormat/>
    <w:uiPriority w:val="99"/>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9">
    <w:name w:val="Bordered - Accent 1"/>
    <w:basedOn w:val="49"/>
    <w:qFormat/>
    <w:uiPriority w:val="99"/>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Arial" w:hAnsi="Arial"/>
        <w:color w:val="404040"/>
        <w:sz w:val="22"/>
      </w:rPr>
      <w:tcPr>
        <w:tcBorders>
          <w:top w:val="nil"/>
          <w:left w:val="nil"/>
          <w:bottom w:val="single" w:color="4472C4" w:sz="12" w:space="0"/>
          <w:right w:val="nil"/>
          <w:insideH w:val="nil"/>
          <w:insideV w:val="nil"/>
          <w:tl2br w:val="nil"/>
          <w:tr2bl w:val="nil"/>
        </w:tcBorders>
      </w:tcPr>
    </w:tblStylePr>
    <w:tblStylePr w:type="lastRow">
      <w:rPr>
        <w:rFonts w:ascii="Arial" w:hAnsi="Arial"/>
        <w:color w:val="404040"/>
        <w:sz w:val="22"/>
      </w:rPr>
      <w:tcPr>
        <w:tcBorders>
          <w:top w:val="single" w:color="4472C4"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472C4" w:sz="12" w:space="0"/>
          <w:bottom w:val="nil"/>
          <w:right w:val="nil"/>
          <w:insideH w:val="nil"/>
          <w:insideV w:val="nil"/>
          <w:tl2br w:val="nil"/>
          <w:tr2bl w:val="nil"/>
        </w:tcBorders>
      </w:tc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0">
    <w:name w:val="Bordered - Accent 2"/>
    <w:basedOn w:val="49"/>
    <w:qFormat/>
    <w:uiPriority w:val="99"/>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top w:val="nil"/>
          <w:left w:val="nil"/>
          <w:bottom w:val="single" w:color="F4B285" w:sz="12" w:space="0"/>
          <w:right w:val="nil"/>
          <w:insideH w:val="nil"/>
          <w:insideV w:val="nil"/>
          <w:tl2br w:val="nil"/>
          <w:tr2bl w:val="nil"/>
        </w:tcBorders>
      </w:tcPr>
    </w:tblStylePr>
    <w:tblStylePr w:type="lastRow">
      <w:rPr>
        <w:rFonts w:ascii="Arial" w:hAnsi="Arial"/>
        <w:color w:val="404040"/>
        <w:sz w:val="22"/>
      </w:rPr>
      <w:tcPr>
        <w:tcBorders>
          <w:top w:val="single" w:color="F4B28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4B285" w:sz="12" w:space="0"/>
          <w:bottom w:val="nil"/>
          <w:right w:val="nil"/>
          <w:insideH w:val="nil"/>
          <w:insideV w:val="nil"/>
          <w:tl2br w:val="nil"/>
          <w:tr2bl w:val="nil"/>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1">
    <w:name w:val="Bordered - Accent 3"/>
    <w:basedOn w:val="49"/>
    <w:qFormat/>
    <w:uiPriority w:val="99"/>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top w:val="nil"/>
          <w:left w:val="nil"/>
          <w:bottom w:val="single" w:color="C9C9C9" w:sz="12" w:space="0"/>
          <w:right w:val="nil"/>
          <w:insideH w:val="nil"/>
          <w:insideV w:val="nil"/>
          <w:tl2br w:val="nil"/>
          <w:tr2bl w:val="nil"/>
        </w:tcBorders>
      </w:tcPr>
    </w:tblStylePr>
    <w:tblStylePr w:type="lastRow">
      <w:rPr>
        <w:rFonts w:ascii="Arial" w:hAnsi="Arial"/>
        <w:color w:val="404040"/>
        <w:sz w:val="22"/>
      </w:rPr>
      <w:tcPr>
        <w:tcBorders>
          <w:top w:val="single" w:color="C9C9C9"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9C9C9" w:sz="12" w:space="0"/>
          <w:bottom w:val="nil"/>
          <w:right w:val="nil"/>
          <w:insideH w:val="nil"/>
          <w:insideV w:val="nil"/>
          <w:tl2br w:val="nil"/>
          <w:tr2bl w:val="nil"/>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2">
    <w:name w:val="Bordered - Accent 4"/>
    <w:basedOn w:val="49"/>
    <w:qFormat/>
    <w:uiPriority w:val="99"/>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Arial" w:hAnsi="Arial"/>
        <w:color w:val="404040"/>
        <w:sz w:val="22"/>
      </w:rPr>
      <w:tcPr>
        <w:tcBorders>
          <w:top w:val="nil"/>
          <w:left w:val="nil"/>
          <w:bottom w:val="single" w:color="FFD864" w:sz="12" w:space="0"/>
          <w:right w:val="nil"/>
          <w:insideH w:val="nil"/>
          <w:insideV w:val="nil"/>
          <w:tl2br w:val="nil"/>
          <w:tr2bl w:val="nil"/>
        </w:tcBorders>
      </w:tcPr>
    </w:tblStylePr>
    <w:tblStylePr w:type="lastRow">
      <w:rPr>
        <w:rFonts w:ascii="Arial" w:hAnsi="Arial"/>
        <w:color w:val="404040"/>
        <w:sz w:val="22"/>
      </w:rPr>
      <w:tcPr>
        <w:tcBorders>
          <w:top w:val="single" w:color="FFD864"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FD864" w:sz="12" w:space="0"/>
          <w:bottom w:val="nil"/>
          <w:right w:val="nil"/>
          <w:insideH w:val="nil"/>
          <w:insideV w:val="nil"/>
          <w:tl2br w:val="nil"/>
          <w:tr2bl w:val="nil"/>
        </w:tcBorders>
      </w:tc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3">
    <w:name w:val="Bordered - Accent 5"/>
    <w:basedOn w:val="49"/>
    <w:qFormat/>
    <w:uiPriority w:val="99"/>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top w:val="nil"/>
          <w:left w:val="nil"/>
          <w:bottom w:val="single" w:color="9BC2E5" w:sz="12" w:space="0"/>
          <w:right w:val="nil"/>
          <w:insideH w:val="nil"/>
          <w:insideV w:val="nil"/>
          <w:tl2br w:val="nil"/>
          <w:tr2bl w:val="nil"/>
        </w:tcBorders>
      </w:tcPr>
    </w:tblStylePr>
    <w:tblStylePr w:type="lastRow">
      <w:rPr>
        <w:rFonts w:ascii="Arial" w:hAnsi="Arial"/>
        <w:color w:val="404040"/>
        <w:sz w:val="22"/>
      </w:rPr>
      <w:tcPr>
        <w:tcBorders>
          <w:top w:val="single" w:color="9BC2E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BC2E5" w:sz="12" w:space="0"/>
          <w:bottom w:val="nil"/>
          <w:right w:val="nil"/>
          <w:insideH w:val="nil"/>
          <w:insideV w:val="nil"/>
          <w:tl2br w:val="nil"/>
          <w:tr2bl w:val="nil"/>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34">
    <w:name w:val="Bordered - Accent 6"/>
    <w:basedOn w:val="49"/>
    <w:qFormat/>
    <w:uiPriority w:val="99"/>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top w:val="nil"/>
          <w:left w:val="nil"/>
          <w:bottom w:val="single" w:color="A9D08E" w:sz="12" w:space="0"/>
          <w:right w:val="nil"/>
          <w:insideH w:val="nil"/>
          <w:insideV w:val="nil"/>
          <w:tl2br w:val="nil"/>
          <w:tr2bl w:val="nil"/>
        </w:tcBorders>
      </w:tcPr>
    </w:tblStylePr>
    <w:tblStylePr w:type="lastRow">
      <w:rPr>
        <w:rFonts w:ascii="Arial" w:hAnsi="Arial"/>
        <w:color w:val="404040"/>
        <w:sz w:val="22"/>
      </w:rPr>
      <w:tcPr>
        <w:tcBorders>
          <w:top w:val="single" w:color="A9D08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A9D08E" w:sz="12" w:space="0"/>
          <w:bottom w:val="nil"/>
          <w:right w:val="nil"/>
          <w:insideH w:val="nil"/>
          <w:insideV w:val="nil"/>
          <w:tl2br w:val="nil"/>
          <w:tr2bl w:val="nil"/>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5">
    <w:name w:val="TOC Heading"/>
    <w:unhideWhenUsed/>
    <w:qFormat/>
    <w:uiPriority w:val="39"/>
    <w:rPr>
      <w:rFonts w:hint="default" w:ascii="Times New Roman" w:hAnsi="Times New Roman" w:eastAsia="宋体" w:cs="Times New Roman"/>
    </w:rPr>
  </w:style>
  <w:style w:type="character" w:customStyle="1" w:styleId="236">
    <w:name w:val="正文文本 字符3"/>
    <w:link w:val="17"/>
    <w:qFormat/>
    <w:uiPriority w:val="0"/>
    <w:rPr>
      <w:rFonts w:ascii="宋体" w:hAnsi="宋体"/>
      <w:sz w:val="24"/>
      <w:szCs w:val="24"/>
    </w:rPr>
  </w:style>
  <w:style w:type="character" w:customStyle="1" w:styleId="237">
    <w:name w:val="批注文字 字符"/>
    <w:qFormat/>
    <w:uiPriority w:val="0"/>
    <w:rPr>
      <w:rFonts w:ascii="Times New Roman" w:hAnsi="Times New Roman" w:eastAsia="宋体" w:cs="Times New Roman"/>
      <w:sz w:val="24"/>
      <w:lang w:val="en-US" w:eastAsia="zh-CN" w:bidi="ar-SA"/>
    </w:rPr>
  </w:style>
  <w:style w:type="character" w:customStyle="1" w:styleId="238">
    <w:name w:val="c21"/>
    <w:qFormat/>
    <w:uiPriority w:val="0"/>
    <w:rPr>
      <w:rFonts w:hint="default" w:ascii="ˎ̥" w:hAnsi="ˎ̥"/>
      <w:color w:val="000000"/>
      <w:sz w:val="20"/>
      <w:szCs w:val="20"/>
      <w:u w:val="none"/>
    </w:rPr>
  </w:style>
  <w:style w:type="character" w:customStyle="1" w:styleId="239">
    <w:name w:val="title4"/>
    <w:qFormat/>
    <w:uiPriority w:val="0"/>
    <w:rPr>
      <w:b/>
      <w:bCs/>
      <w:color w:val="1D87B3"/>
      <w:sz w:val="15"/>
      <w:szCs w:val="15"/>
    </w:rPr>
  </w:style>
  <w:style w:type="character" w:customStyle="1" w:styleId="240">
    <w:name w:val="标题 2 Char Char"/>
    <w:qFormat/>
    <w:uiPriority w:val="0"/>
    <w:rPr>
      <w:rFonts w:ascii="Arial" w:hAnsi="Arial" w:eastAsia="黑体"/>
      <w:b/>
      <w:bCs/>
      <w:sz w:val="32"/>
      <w:szCs w:val="32"/>
      <w:lang w:val="en-US" w:eastAsia="zh-CN" w:bidi="ar-SA"/>
    </w:rPr>
  </w:style>
  <w:style w:type="character" w:customStyle="1" w:styleId="241">
    <w:name w:val="black1"/>
    <w:qFormat/>
    <w:uiPriority w:val="0"/>
    <w:rPr>
      <w:color w:val="000000"/>
    </w:rPr>
  </w:style>
  <w:style w:type="character" w:customStyle="1" w:styleId="242">
    <w:name w:val="street-address"/>
    <w:qFormat/>
    <w:uiPriority w:val="0"/>
  </w:style>
  <w:style w:type="character" w:customStyle="1" w:styleId="243">
    <w:name w:val="locality"/>
    <w:qFormat/>
    <w:uiPriority w:val="0"/>
  </w:style>
  <w:style w:type="character" w:customStyle="1" w:styleId="244">
    <w:name w:val="正文文本缩进 Char1"/>
    <w:link w:val="245"/>
    <w:qFormat/>
    <w:uiPriority w:val="0"/>
    <w:rPr>
      <w:rFonts w:ascii="宋体" w:hAnsi="宋体" w:eastAsia="宋体"/>
      <w:sz w:val="24"/>
      <w:szCs w:val="24"/>
      <w:lang w:bidi="ar-SA"/>
    </w:rPr>
  </w:style>
  <w:style w:type="paragraph" w:customStyle="1" w:styleId="245">
    <w:name w:val="正文文本缩进1"/>
    <w:basedOn w:val="1"/>
    <w:link w:val="244"/>
    <w:qFormat/>
    <w:uiPriority w:val="0"/>
    <w:pPr>
      <w:spacing w:line="480" w:lineRule="exact"/>
      <w:ind w:firstLine="480"/>
    </w:pPr>
    <w:rPr>
      <w:rFonts w:ascii="宋体" w:hAnsi="宋体"/>
      <w:sz w:val="24"/>
    </w:rPr>
  </w:style>
  <w:style w:type="character" w:customStyle="1" w:styleId="246">
    <w:name w:val="Char Char11"/>
    <w:qFormat/>
    <w:uiPriority w:val="0"/>
    <w:rPr>
      <w:rFonts w:ascii="宋体" w:eastAsia="宋体"/>
      <w:b/>
      <w:sz w:val="24"/>
      <w:u w:val="single"/>
      <w:lang w:val="en-US" w:eastAsia="zh-CN" w:bidi="ar-SA"/>
    </w:rPr>
  </w:style>
  <w:style w:type="character" w:customStyle="1" w:styleId="247">
    <w:name w:val="txt"/>
    <w:qFormat/>
    <w:uiPriority w:val="0"/>
  </w:style>
  <w:style w:type="character" w:customStyle="1" w:styleId="248">
    <w:name w:val="正文缩进 Char Char"/>
    <w:link w:val="249"/>
    <w:qFormat/>
    <w:uiPriority w:val="0"/>
    <w:rPr>
      <w:rFonts w:ascii="宋体" w:eastAsia="宋体"/>
      <w:color w:val="000000"/>
      <w:sz w:val="28"/>
      <w:lang w:bidi="ar-SA"/>
    </w:rPr>
  </w:style>
  <w:style w:type="paragraph" w:customStyle="1" w:styleId="249">
    <w:name w:val="正文缩进1"/>
    <w:basedOn w:val="1"/>
    <w:link w:val="248"/>
    <w:qFormat/>
    <w:uiPriority w:val="0"/>
    <w:pPr>
      <w:widowControl/>
      <w:spacing w:line="480" w:lineRule="exact"/>
      <w:ind w:firstLine="567"/>
    </w:pPr>
    <w:rPr>
      <w:rFonts w:ascii="宋体"/>
      <w:color w:val="000000"/>
      <w:sz w:val="28"/>
      <w:szCs w:val="20"/>
    </w:rPr>
  </w:style>
  <w:style w:type="character" w:customStyle="1" w:styleId="250">
    <w:name w:val="普通文字1 Char1"/>
    <w:qFormat/>
    <w:uiPriority w:val="0"/>
    <w:rPr>
      <w:rFonts w:ascii="宋体" w:hAnsi="Courier New" w:eastAsia="宋体"/>
      <w:sz w:val="21"/>
      <w:lang w:val="en-US" w:eastAsia="zh-CN" w:bidi="ar-SA"/>
    </w:rPr>
  </w:style>
  <w:style w:type="character" w:customStyle="1" w:styleId="251">
    <w:name w:val="chanpin1"/>
    <w:qFormat/>
    <w:uiPriority w:val="0"/>
    <w:rPr>
      <w:rFonts w:hint="default" w:ascii="ˎ̥" w:hAnsi="ˎ̥"/>
      <w:color w:val="000000"/>
      <w:sz w:val="20"/>
      <w:szCs w:val="20"/>
      <w:u w:val="none"/>
    </w:rPr>
  </w:style>
  <w:style w:type="character" w:customStyle="1" w:styleId="252">
    <w:name w:val="列表段落 字符1"/>
    <w:link w:val="253"/>
    <w:qFormat/>
    <w:uiPriority w:val="34"/>
    <w:rPr>
      <w:rFonts w:ascii="Calibri" w:hAnsi="Calibri" w:eastAsia="宋体"/>
      <w:sz w:val="21"/>
      <w:szCs w:val="22"/>
      <w:lang w:val="en-US" w:eastAsia="zh-CN" w:bidi="ar-SA"/>
    </w:rPr>
  </w:style>
  <w:style w:type="paragraph" w:styleId="253">
    <w:name w:val="List Paragraph"/>
    <w:basedOn w:val="1"/>
    <w:link w:val="252"/>
    <w:qFormat/>
    <w:uiPriority w:val="34"/>
    <w:pPr>
      <w:ind w:firstLine="420"/>
    </w:pPr>
    <w:rPr>
      <w:rFonts w:ascii="Calibri" w:hAnsi="Calibri"/>
      <w:szCs w:val="22"/>
    </w:rPr>
  </w:style>
  <w:style w:type="character" w:customStyle="1" w:styleId="254">
    <w:name w:val="标题 3 Char Char"/>
    <w:qFormat/>
    <w:uiPriority w:val="0"/>
    <w:rPr>
      <w:rFonts w:eastAsia="宋体"/>
      <w:b/>
      <w:bCs/>
      <w:sz w:val="32"/>
      <w:szCs w:val="32"/>
      <w:lang w:val="en-US" w:eastAsia="zh-CN" w:bidi="ar-SA"/>
    </w:rPr>
  </w:style>
  <w:style w:type="character" w:customStyle="1" w:styleId="255">
    <w:name w:val="段1 Char"/>
    <w:qFormat/>
    <w:uiPriority w:val="0"/>
    <w:rPr>
      <w:rFonts w:ascii="宋体" w:eastAsia="宋体"/>
      <w:sz w:val="24"/>
      <w:lang w:val="en-US" w:eastAsia="zh-CN" w:bidi="ar-SA"/>
    </w:rPr>
  </w:style>
  <w:style w:type="character" w:customStyle="1" w:styleId="256">
    <w:name w:val="chanpin拷贝"/>
    <w:qFormat/>
    <w:uiPriority w:val="0"/>
  </w:style>
  <w:style w:type="character" w:customStyle="1" w:styleId="257">
    <w:name w:val="纯文本 Char1"/>
    <w:qFormat/>
    <w:uiPriority w:val="0"/>
    <w:rPr>
      <w:rFonts w:ascii="宋体" w:hAnsi="Courier New" w:eastAsia="宋体"/>
      <w:sz w:val="21"/>
      <w:lang w:val="en-US" w:eastAsia="zh-CN" w:bidi="ar-SA"/>
    </w:rPr>
  </w:style>
  <w:style w:type="character" w:customStyle="1" w:styleId="258">
    <w:name w:val="apple-style-span"/>
    <w:qFormat/>
    <w:uiPriority w:val="0"/>
    <w:rPr>
      <w:rFonts w:cs="Times New Roman"/>
    </w:rPr>
  </w:style>
  <w:style w:type="paragraph" w:customStyle="1" w:styleId="259">
    <w:name w:val="二级条标题"/>
    <w:basedOn w:val="26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60">
    <w:name w:val="一级条标题"/>
    <w:basedOn w:val="261"/>
    <w:next w:val="1"/>
    <w:qFormat/>
    <w:uiPriority w:val="0"/>
    <w:pPr>
      <w:numPr>
        <w:ilvl w:val="1"/>
      </w:numPr>
      <w:tabs>
        <w:tab w:val="left" w:pos="360"/>
        <w:tab w:val="left" w:pos="840"/>
      </w:tabs>
      <w:ind w:left="0" w:hanging="840"/>
      <w:outlineLvl w:val="1"/>
    </w:pPr>
  </w:style>
  <w:style w:type="paragraph" w:customStyle="1" w:styleId="261">
    <w:name w:val="章标题"/>
    <w:next w:val="1"/>
    <w:qFormat/>
    <w:uiPriority w:val="0"/>
    <w:pPr>
      <w:numPr>
        <w:ilvl w:val="0"/>
        <w:numId w:val="1"/>
      </w:numPr>
      <w:spacing w:line="460" w:lineRule="exact"/>
      <w:ind w:left="0"/>
      <w:jc w:val="both"/>
      <w:outlineLvl w:val="0"/>
    </w:pPr>
    <w:rPr>
      <w:rFonts w:hint="default" w:ascii="黑体" w:hAnsi="Times New Roman" w:eastAsia="黑体" w:cs="Times New Roman"/>
      <w:b/>
      <w:sz w:val="28"/>
    </w:rPr>
  </w:style>
  <w:style w:type="paragraph" w:customStyle="1" w:styleId="26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63">
    <w:name w:val="字元 字元"/>
    <w:basedOn w:val="1"/>
    <w:qFormat/>
    <w:uiPriority w:val="0"/>
    <w:rPr>
      <w:rFonts w:ascii="Tahoma" w:hAnsi="Tahoma"/>
      <w:sz w:val="24"/>
      <w:szCs w:val="20"/>
    </w:rPr>
  </w:style>
  <w:style w:type="paragraph" w:customStyle="1" w:styleId="264">
    <w:name w:val="Char3 Char Char Char"/>
    <w:basedOn w:val="1"/>
    <w:qFormat/>
    <w:uiPriority w:val="0"/>
    <w:rPr>
      <w:rFonts w:ascii="Tahoma" w:hAnsi="Tahoma"/>
      <w:sz w:val="24"/>
      <w:szCs w:val="20"/>
    </w:rPr>
  </w:style>
  <w:style w:type="paragraph" w:customStyle="1" w:styleId="265">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66">
    <w:name w:val="项目编号2"/>
    <w:basedOn w:val="267"/>
    <w:qFormat/>
    <w:uiPriority w:val="0"/>
    <w:pPr>
      <w:numPr>
        <w:ilvl w:val="0"/>
        <w:numId w:val="2"/>
      </w:numPr>
    </w:pPr>
  </w:style>
  <w:style w:type="paragraph" w:customStyle="1" w:styleId="26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68">
    <w:name w:val="图中文字"/>
    <w:basedOn w:val="1"/>
    <w:qFormat/>
    <w:uiPriority w:val="0"/>
    <w:pPr>
      <w:spacing w:line="0" w:lineRule="atLeast"/>
      <w:jc w:val="center"/>
    </w:pPr>
    <w:rPr>
      <w:sz w:val="24"/>
      <w:szCs w:val="20"/>
    </w:rPr>
  </w:style>
  <w:style w:type="paragraph" w:customStyle="1" w:styleId="26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1">
    <w:name w:val="Char2"/>
    <w:basedOn w:val="1"/>
    <w:qFormat/>
    <w:uiPriority w:val="0"/>
    <w:rPr>
      <w:rFonts w:ascii="Tahoma" w:hAnsi="Tahoma"/>
      <w:sz w:val="24"/>
      <w:szCs w:val="20"/>
    </w:rPr>
  </w:style>
  <w:style w:type="paragraph" w:customStyle="1" w:styleId="27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7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6">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77">
    <w:name w:val="Char Char Char Char Char Char Char"/>
    <w:basedOn w:val="1"/>
    <w:qFormat/>
    <w:uiPriority w:val="0"/>
    <w:pPr>
      <w:spacing w:line="360" w:lineRule="auto"/>
      <w:ind w:firstLine="200"/>
    </w:pPr>
    <w:rPr>
      <w:rFonts w:eastAsia="仿宋_GB2312"/>
      <w:sz w:val="24"/>
    </w:rPr>
  </w:style>
  <w:style w:type="paragraph" w:customStyle="1" w:styleId="27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7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81">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8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85">
    <w:name w:val="font8"/>
    <w:basedOn w:val="1"/>
    <w:qFormat/>
    <w:uiPriority w:val="0"/>
    <w:pPr>
      <w:widowControl/>
      <w:spacing w:before="100" w:beforeAutospacing="1" w:after="100" w:afterAutospacing="1"/>
      <w:jc w:val="left"/>
    </w:pPr>
    <w:rPr>
      <w:sz w:val="36"/>
      <w:szCs w:val="36"/>
    </w:rPr>
  </w:style>
  <w:style w:type="paragraph" w:customStyle="1" w:styleId="286">
    <w:name w:val="Char"/>
    <w:basedOn w:val="1"/>
    <w:qFormat/>
    <w:uiPriority w:val="0"/>
    <w:pPr>
      <w:tabs>
        <w:tab w:val="left" w:pos="360"/>
      </w:tabs>
    </w:pPr>
    <w:rPr>
      <w:sz w:val="24"/>
    </w:rPr>
  </w:style>
  <w:style w:type="paragraph" w:customStyle="1" w:styleId="287">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28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90">
    <w:name w:val="Char Char1"/>
    <w:basedOn w:val="14"/>
    <w:qFormat/>
    <w:uiPriority w:val="0"/>
    <w:rPr>
      <w:rFonts w:ascii="Tahoma" w:hAnsi="Tahoma"/>
      <w:sz w:val="24"/>
    </w:rPr>
  </w:style>
  <w:style w:type="paragraph" w:customStyle="1" w:styleId="29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2"/>
      <w:szCs w:val="22"/>
    </w:rPr>
  </w:style>
  <w:style w:type="paragraph" w:customStyle="1" w:styleId="29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4">
    <w:name w:val="样式 宋体 五号 行距: 单倍行距"/>
    <w:basedOn w:val="1"/>
    <w:qFormat/>
    <w:uiPriority w:val="0"/>
    <w:pPr>
      <w:jc w:val="left"/>
    </w:pPr>
    <w:rPr>
      <w:rFonts w:ascii="宋体" w:hAnsi="宋体"/>
      <w:szCs w:val="20"/>
    </w:rPr>
  </w:style>
  <w:style w:type="paragraph" w:customStyle="1" w:styleId="295">
    <w:name w:val="Char1 Char Char Char1"/>
    <w:basedOn w:val="1"/>
    <w:qFormat/>
    <w:uiPriority w:val="0"/>
    <w:rPr>
      <w:rFonts w:ascii="Tahoma" w:hAnsi="Tahoma" w:cs="仿宋_GB2312"/>
      <w:sz w:val="24"/>
      <w:szCs w:val="28"/>
    </w:rPr>
  </w:style>
  <w:style w:type="paragraph" w:customStyle="1" w:styleId="296">
    <w:name w:val="四级条标题"/>
    <w:basedOn w:val="297"/>
    <w:next w:val="1"/>
    <w:qFormat/>
    <w:uiPriority w:val="0"/>
    <w:pPr>
      <w:numPr>
        <w:ilvl w:val="4"/>
      </w:numPr>
      <w:tabs>
        <w:tab w:val="left" w:pos="360"/>
        <w:tab w:val="left" w:pos="840"/>
      </w:tabs>
      <w:ind w:left="0" w:hanging="840"/>
      <w:outlineLvl w:val="4"/>
    </w:pPr>
  </w:style>
  <w:style w:type="paragraph" w:customStyle="1" w:styleId="297">
    <w:name w:val="三级条标题"/>
    <w:basedOn w:val="259"/>
    <w:next w:val="1"/>
    <w:qFormat/>
    <w:uiPriority w:val="0"/>
    <w:pPr>
      <w:numPr>
        <w:ilvl w:val="3"/>
        <w:numId w:val="1"/>
      </w:numPr>
      <w:ind w:left="0" w:hanging="840"/>
      <w:outlineLvl w:val="3"/>
    </w:pPr>
  </w:style>
  <w:style w:type="paragraph" w:customStyle="1" w:styleId="298">
    <w:name w:val="??"/>
    <w:qFormat/>
    <w:uiPriority w:val="0"/>
    <w:pPr>
      <w:widowControl w:val="0"/>
      <w:jc w:val="both"/>
    </w:pPr>
    <w:rPr>
      <w:rFonts w:hint="default" w:ascii="Times New Roman" w:hAnsi="Times New Roman" w:eastAsia="宋体" w:cs="Times New Roman"/>
      <w:sz w:val="21"/>
      <w:lang w:eastAsia="en-US"/>
    </w:rPr>
  </w:style>
  <w:style w:type="paragraph" w:customStyle="1" w:styleId="299">
    <w:name w:val="样式 标题 2 + 宋体 五号 行距: 单倍行距"/>
    <w:basedOn w:val="3"/>
    <w:qFormat/>
    <w:uiPriority w:val="0"/>
    <w:pPr>
      <w:numPr>
        <w:ilvl w:val="1"/>
        <w:numId w:val="4"/>
      </w:numPr>
      <w:spacing w:before="260" w:after="260" w:line="240" w:lineRule="auto"/>
      <w:jc w:val="left"/>
    </w:pPr>
    <w:rPr>
      <w:rFonts w:ascii="宋体" w:hAnsi="宋体" w:eastAsia="宋体"/>
      <w:bCs/>
      <w:sz w:val="21"/>
    </w:rPr>
  </w:style>
  <w:style w:type="paragraph" w:customStyle="1" w:styleId="300">
    <w:name w:val="List Paragraph1"/>
    <w:basedOn w:val="1"/>
    <w:qFormat/>
    <w:uiPriority w:val="0"/>
    <w:pPr>
      <w:ind w:firstLine="420"/>
    </w:pPr>
    <w:rPr>
      <w:rFonts w:ascii="Calibri" w:hAnsi="Calibri"/>
      <w:szCs w:val="22"/>
    </w:rPr>
  </w:style>
  <w:style w:type="paragraph" w:customStyle="1" w:styleId="301">
    <w:name w:val="项目符号1"/>
    <w:basedOn w:val="302"/>
    <w:qFormat/>
    <w:uiPriority w:val="0"/>
    <w:pPr>
      <w:ind w:left="-25" w:firstLine="0"/>
    </w:pPr>
  </w:style>
  <w:style w:type="paragraph" w:customStyle="1" w:styleId="302">
    <w:name w:val="正文文本样式"/>
    <w:basedOn w:val="1"/>
    <w:qFormat/>
    <w:uiPriority w:val="0"/>
    <w:pPr>
      <w:spacing w:line="360" w:lineRule="auto"/>
      <w:ind w:firstLine="482"/>
    </w:pPr>
    <w:rPr>
      <w:rFonts w:cs="宋体"/>
      <w:sz w:val="24"/>
      <w:szCs w:val="20"/>
    </w:rPr>
  </w:style>
  <w:style w:type="paragraph" w:customStyle="1" w:styleId="30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0"/>
      <w:szCs w:val="20"/>
    </w:rPr>
  </w:style>
  <w:style w:type="paragraph" w:customStyle="1" w:styleId="30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5">
    <w:name w:val="五级条标题"/>
    <w:basedOn w:val="296"/>
    <w:next w:val="1"/>
    <w:qFormat/>
    <w:uiPriority w:val="0"/>
    <w:pPr>
      <w:numPr>
        <w:ilvl w:val="5"/>
      </w:numPr>
      <w:ind w:left="0" w:hanging="840"/>
      <w:outlineLvl w:val="5"/>
    </w:pPr>
  </w:style>
  <w:style w:type="paragraph" w:customStyle="1" w:styleId="30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07">
    <w:name w:val="文档正文"/>
    <w:basedOn w:val="1"/>
    <w:qFormat/>
    <w:uiPriority w:val="0"/>
    <w:pPr>
      <w:spacing w:before="120" w:after="120" w:line="180" w:lineRule="auto"/>
    </w:pPr>
    <w:rPr>
      <w:rFonts w:ascii="Arial" w:hAnsi="Arial"/>
      <w:szCs w:val="20"/>
    </w:rPr>
  </w:style>
  <w:style w:type="paragraph" w:customStyle="1" w:styleId="30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30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sz w:val="20"/>
      <w:szCs w:val="20"/>
    </w:rPr>
  </w:style>
  <w:style w:type="paragraph" w:customStyle="1" w:styleId="310">
    <w:name w:val="Char Char Char1 Char"/>
    <w:basedOn w:val="1"/>
    <w:qFormat/>
    <w:uiPriority w:val="99"/>
    <w:rPr>
      <w:rFonts w:ascii="Tahoma" w:hAnsi="Tahoma"/>
      <w:sz w:val="24"/>
      <w:szCs w:val="20"/>
    </w:rPr>
  </w:style>
  <w:style w:type="paragraph" w:customStyle="1" w:styleId="31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12">
    <w:name w:val="1名"/>
    <w:basedOn w:val="1"/>
    <w:qFormat/>
    <w:uiPriority w:val="0"/>
    <w:pPr>
      <w:numPr>
        <w:ilvl w:val="0"/>
        <w:numId w:val="5"/>
      </w:numPr>
      <w:spacing w:before="120"/>
    </w:pPr>
    <w:rPr>
      <w:rFonts w:ascii="宋体"/>
      <w:sz w:val="28"/>
      <w:szCs w:val="20"/>
    </w:rPr>
  </w:style>
  <w:style w:type="paragraph" w:customStyle="1" w:styleId="313">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14">
    <w:name w:val="Char Char Char1 Char1"/>
    <w:basedOn w:val="1"/>
    <w:qFormat/>
    <w:uiPriority w:val="99"/>
    <w:rPr>
      <w:rFonts w:ascii="Tahoma" w:hAnsi="Tahoma"/>
      <w:sz w:val="24"/>
      <w:szCs w:val="20"/>
    </w:rPr>
  </w:style>
  <w:style w:type="paragraph" w:customStyle="1" w:styleId="315">
    <w:name w:val="Char Char Char Char Char Char Char Char Char Char"/>
    <w:basedOn w:val="1"/>
    <w:qFormat/>
    <w:uiPriority w:val="0"/>
  </w:style>
  <w:style w:type="paragraph" w:customStyle="1" w:styleId="316">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7">
    <w:name w:val="Char1"/>
    <w:basedOn w:val="1"/>
    <w:qFormat/>
    <w:uiPriority w:val="0"/>
    <w:pPr>
      <w:tabs>
        <w:tab w:val="left" w:pos="360"/>
      </w:tabs>
    </w:pPr>
    <w:rPr>
      <w:sz w:val="24"/>
    </w:rPr>
  </w:style>
  <w:style w:type="paragraph" w:customStyle="1" w:styleId="318">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1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默认段落字体 Para Char Char Char Char"/>
    <w:basedOn w:val="1"/>
    <w:qFormat/>
    <w:uiPriority w:val="0"/>
    <w:rPr>
      <w:rFonts w:ascii="Arial" w:hAnsi="Arial" w:cs="Arial"/>
      <w:szCs w:val="21"/>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2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sz w:val="20"/>
      <w:szCs w:val="20"/>
    </w:rPr>
  </w:style>
  <w:style w:type="paragraph" w:customStyle="1" w:styleId="32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25">
    <w:name w:val="Char Char Char"/>
    <w:basedOn w:val="1"/>
    <w:qFormat/>
    <w:uiPriority w:val="0"/>
    <w:rPr>
      <w:rFonts w:ascii="Tahoma" w:hAnsi="Tahoma"/>
      <w:sz w:val="24"/>
      <w:szCs w:val="20"/>
    </w:rPr>
  </w:style>
  <w:style w:type="paragraph" w:customStyle="1" w:styleId="32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27">
    <w:name w:val="缺省文本"/>
    <w:basedOn w:val="1"/>
    <w:qFormat/>
    <w:uiPriority w:val="0"/>
    <w:pPr>
      <w:jc w:val="left"/>
    </w:pPr>
    <w:rPr>
      <w:sz w:val="24"/>
    </w:rPr>
  </w:style>
  <w:style w:type="paragraph" w:customStyle="1" w:styleId="328">
    <w:name w:val="Char Char Char1"/>
    <w:basedOn w:val="1"/>
    <w:qFormat/>
    <w:uiPriority w:val="0"/>
    <w:rPr>
      <w:rFonts w:ascii="Tahoma" w:hAnsi="Tahoma"/>
      <w:sz w:val="24"/>
      <w:szCs w:val="20"/>
    </w:rPr>
  </w:style>
  <w:style w:type="paragraph" w:customStyle="1" w:styleId="329">
    <w:name w:val="Char Char Char Char Char Char Char1"/>
    <w:basedOn w:val="1"/>
    <w:qFormat/>
    <w:uiPriority w:val="0"/>
    <w:pPr>
      <w:spacing w:line="360" w:lineRule="auto"/>
      <w:ind w:firstLine="200"/>
    </w:pPr>
    <w:rPr>
      <w:rFonts w:eastAsia="仿宋_GB2312"/>
      <w:sz w:val="24"/>
    </w:rPr>
  </w:style>
  <w:style w:type="paragraph" w:customStyle="1" w:styleId="33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31">
    <w:name w:val="样式2"/>
    <w:basedOn w:val="43"/>
    <w:qFormat/>
    <w:uiPriority w:val="99"/>
    <w:pPr>
      <w:spacing w:line="360" w:lineRule="auto"/>
      <w:jc w:val="center"/>
    </w:pPr>
    <w:rPr>
      <w:sz w:val="24"/>
    </w:rPr>
  </w:style>
  <w:style w:type="paragraph" w:customStyle="1" w:styleId="33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334">
    <w:name w:val="正文 + 楷体_GB2312"/>
    <w:basedOn w:val="1"/>
    <w:qFormat/>
    <w:uiPriority w:val="0"/>
    <w:pPr>
      <w:widowControl/>
      <w:jc w:val="left"/>
    </w:pPr>
    <w:rPr>
      <w:rFonts w:ascii="楷体_GB2312" w:eastAsia="楷体_GB2312" w:cs="Arial"/>
      <w:sz w:val="24"/>
    </w:rPr>
  </w:style>
  <w:style w:type="paragraph" w:customStyle="1" w:styleId="33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6600"/>
      <w:sz w:val="20"/>
      <w:szCs w:val="20"/>
    </w:rPr>
  </w:style>
  <w:style w:type="paragraph" w:customStyle="1" w:styleId="336">
    <w:name w:val="1 Char Char Char Char"/>
    <w:basedOn w:val="1"/>
    <w:qFormat/>
    <w:uiPriority w:val="0"/>
    <w:rPr>
      <w:rFonts w:ascii="Tahoma" w:hAnsi="Tahoma"/>
      <w:sz w:val="24"/>
      <w:szCs w:val="20"/>
    </w:rPr>
  </w:style>
  <w:style w:type="paragraph" w:customStyle="1" w:styleId="337">
    <w:name w:val="Default"/>
    <w:link w:val="338"/>
    <w:qFormat/>
    <w:uiPriority w:val="0"/>
    <w:pPr>
      <w:widowControl w:val="0"/>
    </w:pPr>
    <w:rPr>
      <w:rFonts w:hint="default" w:ascii="Symbol" w:hAnsi="Symbol" w:eastAsia="宋体" w:cs="Symbol"/>
      <w:color w:val="000000"/>
      <w:sz w:val="24"/>
      <w:szCs w:val="24"/>
    </w:rPr>
  </w:style>
  <w:style w:type="character" w:customStyle="1" w:styleId="338">
    <w:name w:val="Default Char"/>
    <w:link w:val="337"/>
    <w:qFormat/>
    <w:uiPriority w:val="0"/>
    <w:rPr>
      <w:rFonts w:ascii="Symbol" w:hAnsi="Symbol" w:cs="Symbol"/>
      <w:color w:val="000000"/>
      <w:sz w:val="24"/>
      <w:szCs w:val="24"/>
    </w:rPr>
  </w:style>
  <w:style w:type="paragraph" w:customStyle="1" w:styleId="339">
    <w:name w:val="列出段落1"/>
    <w:basedOn w:val="1"/>
    <w:qFormat/>
    <w:uiPriority w:val="99"/>
    <w:pPr>
      <w:ind w:firstLine="420"/>
    </w:pPr>
    <w:rPr>
      <w:rFonts w:ascii="Calibri" w:hAnsi="Calibri"/>
      <w:szCs w:val="22"/>
    </w:rPr>
  </w:style>
  <w:style w:type="paragraph" w:customStyle="1" w:styleId="34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41">
    <w:name w:val="字元 字元1"/>
    <w:basedOn w:val="1"/>
    <w:qFormat/>
    <w:uiPriority w:val="0"/>
    <w:rPr>
      <w:rFonts w:ascii="Tahoma" w:hAnsi="Tahoma"/>
      <w:sz w:val="24"/>
      <w:szCs w:val="20"/>
    </w:rPr>
  </w:style>
  <w:style w:type="paragraph" w:customStyle="1" w:styleId="342">
    <w:name w:val="_Style 160"/>
    <w:qFormat/>
    <w:uiPriority w:val="0"/>
    <w:rPr>
      <w:rFonts w:hint="default" w:ascii="Times New Roman" w:hAnsi="Times New Roman" w:eastAsia="宋体" w:cs="Times New Roman"/>
      <w:sz w:val="21"/>
      <w:szCs w:val="24"/>
    </w:rPr>
  </w:style>
  <w:style w:type="paragraph" w:customStyle="1" w:styleId="343">
    <w:name w:val="项目编号3"/>
    <w:basedOn w:val="302"/>
    <w:qFormat/>
    <w:uiPriority w:val="0"/>
    <w:pPr>
      <w:numPr>
        <w:ilvl w:val="0"/>
        <w:numId w:val="6"/>
      </w:numPr>
    </w:pPr>
  </w:style>
  <w:style w:type="paragraph" w:customStyle="1" w:styleId="344">
    <w:name w:val="Char21"/>
    <w:basedOn w:val="1"/>
    <w:qFormat/>
    <w:uiPriority w:val="0"/>
    <w:rPr>
      <w:rFonts w:ascii="Tahoma" w:hAnsi="Tahoma"/>
      <w:sz w:val="24"/>
      <w:szCs w:val="20"/>
    </w:rPr>
  </w:style>
  <w:style w:type="paragraph" w:customStyle="1" w:styleId="34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346">
    <w:name w:val="Char Char Char Char Char Char Char Char Char Char1"/>
    <w:basedOn w:val="1"/>
    <w:qFormat/>
    <w:uiPriority w:val="0"/>
    <w:rPr>
      <w:rFonts w:ascii="宋体" w:hAnsi="宋体" w:cs="Courier New"/>
      <w:sz w:val="32"/>
      <w:szCs w:val="32"/>
    </w:rPr>
  </w:style>
  <w:style w:type="paragraph" w:customStyle="1" w:styleId="347">
    <w:name w:val="正文文本样式 加粗"/>
    <w:basedOn w:val="302"/>
    <w:qFormat/>
    <w:uiPriority w:val="0"/>
    <w:rPr>
      <w:b/>
    </w:rPr>
  </w:style>
  <w:style w:type="paragraph" w:customStyle="1" w:styleId="348">
    <w:name w:val="Char2 Char Char Char Char Char Char"/>
    <w:basedOn w:val="1"/>
    <w:qFormat/>
    <w:uiPriority w:val="0"/>
    <w:pPr>
      <w:widowControl/>
      <w:spacing w:line="400" w:lineRule="exact"/>
      <w:jc w:val="center"/>
    </w:pPr>
  </w:style>
  <w:style w:type="paragraph" w:customStyle="1" w:styleId="349">
    <w:name w:val="Char Char4"/>
    <w:basedOn w:val="1"/>
    <w:qFormat/>
    <w:uiPriority w:val="0"/>
    <w:pPr>
      <w:widowControl/>
      <w:spacing w:line="400" w:lineRule="exact"/>
      <w:jc w:val="center"/>
    </w:pPr>
  </w:style>
  <w:style w:type="paragraph" w:customStyle="1" w:styleId="350">
    <w:name w:val="Char3 Char Char Char1"/>
    <w:basedOn w:val="1"/>
    <w:qFormat/>
    <w:uiPriority w:val="0"/>
    <w:rPr>
      <w:rFonts w:ascii="Tahoma" w:hAnsi="Tahoma"/>
      <w:sz w:val="24"/>
      <w:szCs w:val="20"/>
    </w:rPr>
  </w:style>
  <w:style w:type="paragraph" w:styleId="351">
    <w:name w:val="No Spacing"/>
    <w:qFormat/>
    <w:uiPriority w:val="0"/>
    <w:pPr>
      <w:widowControl w:val="0"/>
      <w:jc w:val="both"/>
    </w:pPr>
    <w:rPr>
      <w:rFonts w:hint="default" w:ascii="Times New Roman" w:hAnsi="Times New Roman" w:eastAsia="宋体" w:cs="Times New Roman"/>
      <w:sz w:val="21"/>
      <w:szCs w:val="24"/>
    </w:rPr>
  </w:style>
  <w:style w:type="paragraph" w:customStyle="1" w:styleId="352">
    <w:name w:val="22222222222222"/>
    <w:basedOn w:val="1"/>
    <w:qFormat/>
    <w:uiPriority w:val="0"/>
    <w:pPr>
      <w:widowControl/>
      <w:spacing w:line="360" w:lineRule="auto"/>
      <w:ind w:firstLine="480"/>
      <w:jc w:val="left"/>
    </w:pPr>
    <w:rPr>
      <w:color w:val="FF0000"/>
      <w:sz w:val="24"/>
      <w:szCs w:val="20"/>
    </w:rPr>
  </w:style>
  <w:style w:type="character" w:customStyle="1" w:styleId="353">
    <w:name w:val="中等深浅网格 1 - 强调文字颜色 2 Char"/>
    <w:link w:val="354"/>
    <w:qFormat/>
    <w:uiPriority w:val="0"/>
    <w:rPr>
      <w:sz w:val="21"/>
      <w:szCs w:val="24"/>
      <w:lang w:val="zh-CN" w:eastAsia="zh-CN" w:bidi="ar-SA"/>
    </w:rPr>
  </w:style>
  <w:style w:type="paragraph" w:customStyle="1" w:styleId="354">
    <w:name w:val="1"/>
    <w:link w:val="353"/>
    <w:qFormat/>
    <w:uiPriority w:val="0"/>
    <w:rPr>
      <w:rFonts w:hint="default" w:ascii="Times New Roman" w:hAnsi="Times New Roman" w:eastAsia="宋体" w:cs="Times New Roman"/>
      <w:sz w:val="21"/>
      <w:szCs w:val="24"/>
      <w:lang w:val="zh-CN"/>
    </w:rPr>
  </w:style>
  <w:style w:type="paragraph" w:customStyle="1" w:styleId="355">
    <w:name w:val="图文"/>
    <w:basedOn w:val="1"/>
    <w:qFormat/>
    <w:uiPriority w:val="0"/>
    <w:pPr>
      <w:spacing w:after="50" w:line="360" w:lineRule="auto"/>
    </w:pPr>
    <w:rPr>
      <w:sz w:val="24"/>
    </w:rPr>
  </w:style>
  <w:style w:type="paragraph" w:customStyle="1" w:styleId="356">
    <w:name w:val="xl23"/>
    <w:basedOn w:val="1"/>
    <w:qFormat/>
    <w:uiPriority w:val="0"/>
    <w:pPr>
      <w:widowControl/>
      <w:spacing w:before="100" w:beforeAutospacing="1" w:after="100" w:afterAutospacing="1" w:line="360" w:lineRule="auto"/>
    </w:pPr>
    <w:rPr>
      <w:sz w:val="24"/>
      <w:szCs w:val="20"/>
    </w:rPr>
  </w:style>
  <w:style w:type="paragraph" w:customStyle="1" w:styleId="357">
    <w:name w:val="正文表格"/>
    <w:basedOn w:val="1"/>
    <w:link w:val="358"/>
    <w:qFormat/>
    <w:uiPriority w:val="0"/>
    <w:pPr>
      <w:jc w:val="left"/>
    </w:pPr>
    <w:rPr>
      <w:rFonts w:ascii="宋体" w:hAnsi="宋体"/>
      <w:color w:val="000000"/>
      <w:szCs w:val="21"/>
    </w:rPr>
  </w:style>
  <w:style w:type="character" w:customStyle="1" w:styleId="358">
    <w:name w:val="正文表格 Char"/>
    <w:link w:val="357"/>
    <w:qFormat/>
    <w:uiPriority w:val="0"/>
    <w:rPr>
      <w:rFonts w:ascii="宋体" w:hAnsi="宋体"/>
      <w:color w:val="000000"/>
      <w:sz w:val="21"/>
      <w:szCs w:val="21"/>
    </w:rPr>
  </w:style>
  <w:style w:type="paragraph" w:customStyle="1" w:styleId="359">
    <w:name w:val="正文重点"/>
    <w:basedOn w:val="1"/>
    <w:link w:val="360"/>
    <w:qFormat/>
    <w:uiPriority w:val="0"/>
    <w:pPr>
      <w:spacing w:line="360" w:lineRule="auto"/>
      <w:ind w:firstLine="482"/>
      <w:jc w:val="left"/>
    </w:pPr>
    <w:rPr>
      <w:b/>
      <w:sz w:val="24"/>
      <w:szCs w:val="20"/>
    </w:rPr>
  </w:style>
  <w:style w:type="character" w:customStyle="1" w:styleId="360">
    <w:name w:val="正文重点 Char"/>
    <w:link w:val="359"/>
    <w:qFormat/>
    <w:uiPriority w:val="0"/>
    <w:rPr>
      <w:b/>
      <w:sz w:val="24"/>
    </w:rPr>
  </w:style>
  <w:style w:type="paragraph" w:customStyle="1" w:styleId="361">
    <w:name w:val="标题1-附件"/>
    <w:basedOn w:val="2"/>
    <w:qFormat/>
    <w:uiPriority w:val="0"/>
    <w:pPr>
      <w:jc w:val="left"/>
    </w:pPr>
    <w:rPr>
      <w:sz w:val="24"/>
      <w:szCs w:val="24"/>
    </w:rPr>
  </w:style>
  <w:style w:type="paragraph" w:customStyle="1" w:styleId="362">
    <w:name w:val="正文小标题"/>
    <w:basedOn w:val="1"/>
    <w:next w:val="4"/>
    <w:link w:val="363"/>
    <w:qFormat/>
    <w:uiPriority w:val="0"/>
    <w:pPr>
      <w:ind w:firstLine="482"/>
      <w:jc w:val="left"/>
    </w:pPr>
    <w:rPr>
      <w:rFonts w:ascii="宋体" w:hAnsi="宋体"/>
      <w:b/>
      <w:i/>
      <w:color w:val="FF0000"/>
      <w:sz w:val="24"/>
      <w:szCs w:val="20"/>
    </w:rPr>
  </w:style>
  <w:style w:type="character" w:customStyle="1" w:styleId="363">
    <w:name w:val="正文小标题 Char"/>
    <w:link w:val="362"/>
    <w:qFormat/>
    <w:uiPriority w:val="0"/>
    <w:rPr>
      <w:rFonts w:ascii="宋体" w:hAnsi="宋体"/>
      <w:b/>
      <w:i/>
      <w:color w:val="FF0000"/>
      <w:sz w:val="24"/>
    </w:rPr>
  </w:style>
  <w:style w:type="paragraph" w:customStyle="1" w:styleId="364">
    <w:name w:val="正文大标题"/>
    <w:basedOn w:val="362"/>
    <w:next w:val="4"/>
    <w:link w:val="365"/>
    <w:qFormat/>
    <w:uiPriority w:val="0"/>
    <w:pPr>
      <w:jc w:val="center"/>
    </w:pPr>
    <w:rPr>
      <w:i w:val="0"/>
      <w:color w:val="000000"/>
      <w:sz w:val="28"/>
      <w:szCs w:val="21"/>
    </w:rPr>
  </w:style>
  <w:style w:type="character" w:customStyle="1" w:styleId="365">
    <w:name w:val="正文大标题 Char"/>
    <w:link w:val="364"/>
    <w:qFormat/>
    <w:uiPriority w:val="0"/>
    <w:rPr>
      <w:rFonts w:ascii="宋体" w:hAnsi="宋体"/>
      <w:b/>
      <w:color w:val="000000"/>
      <w:sz w:val="28"/>
      <w:szCs w:val="21"/>
    </w:rPr>
  </w:style>
  <w:style w:type="paragraph" w:customStyle="1" w:styleId="366">
    <w:name w:val="注释"/>
    <w:basedOn w:val="1"/>
    <w:link w:val="367"/>
    <w:qFormat/>
    <w:uiPriority w:val="0"/>
    <w:pPr>
      <w:ind w:left="420" w:hanging="420"/>
      <w:jc w:val="left"/>
    </w:pPr>
    <w:rPr>
      <w:rFonts w:ascii="宋体" w:hAnsi="宋体"/>
      <w:szCs w:val="21"/>
    </w:rPr>
  </w:style>
  <w:style w:type="character" w:customStyle="1" w:styleId="367">
    <w:name w:val="注释 Char"/>
    <w:link w:val="366"/>
    <w:qFormat/>
    <w:uiPriority w:val="0"/>
    <w:rPr>
      <w:rFonts w:ascii="宋体" w:hAnsi="宋体"/>
      <w:sz w:val="21"/>
      <w:szCs w:val="21"/>
    </w:rPr>
  </w:style>
  <w:style w:type="paragraph" w:customStyle="1" w:styleId="36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69">
    <w:name w:val="正文须知-2级"/>
    <w:basedOn w:val="1"/>
    <w:qFormat/>
    <w:uiPriority w:val="0"/>
    <w:pPr>
      <w:numPr>
        <w:ilvl w:val="1"/>
        <w:numId w:val="7"/>
      </w:numPr>
      <w:spacing w:line="300" w:lineRule="auto"/>
    </w:pPr>
    <w:rPr>
      <w:rFonts w:ascii="宋体" w:hAnsi="Calibri"/>
      <w:sz w:val="24"/>
      <w:szCs w:val="21"/>
    </w:rPr>
  </w:style>
  <w:style w:type="paragraph" w:customStyle="1" w:styleId="37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71">
    <w:name w:val="纯文本 字符"/>
    <w:qFormat/>
    <w:uiPriority w:val="99"/>
    <w:rPr>
      <w:rFonts w:ascii="宋体" w:hAnsi="Courier New" w:eastAsia="宋体" w:cs="Times New Roman"/>
      <w:sz w:val="21"/>
      <w:szCs w:val="21"/>
      <w:lang w:val="en-US" w:eastAsia="zh-CN" w:bidi="ar-SA"/>
    </w:rPr>
  </w:style>
  <w:style w:type="paragraph" w:customStyle="1" w:styleId="372">
    <w:name w:val="表格1"/>
    <w:basedOn w:val="1"/>
    <w:qFormat/>
    <w:uiPriority w:val="0"/>
    <w:pPr>
      <w:ind w:firstLine="480"/>
      <w:jc w:val="center"/>
    </w:pPr>
    <w:rPr>
      <w:sz w:val="24"/>
      <w:szCs w:val="20"/>
    </w:rPr>
  </w:style>
  <w:style w:type="character" w:customStyle="1" w:styleId="373">
    <w:name w:val="纯文本 字符1"/>
    <w:qFormat/>
    <w:uiPriority w:val="0"/>
    <w:rPr>
      <w:rFonts w:ascii="宋体" w:hAnsi="Courier New"/>
    </w:rPr>
  </w:style>
  <w:style w:type="character" w:customStyle="1" w:styleId="374">
    <w:name w:val="bjh-p"/>
    <w:qFormat/>
    <w:uiPriority w:val="0"/>
  </w:style>
  <w:style w:type="paragraph" w:customStyle="1" w:styleId="375">
    <w:name w:val="无标题条"/>
    <w:next w:val="1"/>
    <w:qFormat/>
    <w:uiPriority w:val="0"/>
    <w:pPr>
      <w:jc w:val="both"/>
    </w:pPr>
    <w:rPr>
      <w:rFonts w:hint="default" w:ascii="Times New Roman" w:hAnsi="Times New Roman" w:eastAsia="宋体" w:cs="Times New Roman"/>
      <w:sz w:val="21"/>
    </w:rPr>
  </w:style>
  <w:style w:type="character" w:customStyle="1" w:styleId="376">
    <w:name w:val="正文格式 Char"/>
    <w:link w:val="377"/>
    <w:qFormat/>
    <w:uiPriority w:val="0"/>
    <w:rPr>
      <w:rFonts w:ascii="宋体" w:hAnsi="宋体"/>
      <w:sz w:val="24"/>
      <w:szCs w:val="24"/>
      <w:lang w:val="en-GB"/>
    </w:rPr>
  </w:style>
  <w:style w:type="paragraph" w:customStyle="1" w:styleId="377">
    <w:name w:val="正文格式"/>
    <w:basedOn w:val="1"/>
    <w:link w:val="376"/>
    <w:qFormat/>
    <w:uiPriority w:val="0"/>
    <w:pPr>
      <w:spacing w:line="360" w:lineRule="auto"/>
      <w:ind w:firstLine="480"/>
    </w:pPr>
    <w:rPr>
      <w:rFonts w:ascii="宋体" w:hAnsi="宋体"/>
      <w:sz w:val="24"/>
      <w:lang w:val="en-GB"/>
    </w:rPr>
  </w:style>
  <w:style w:type="character" w:customStyle="1" w:styleId="378">
    <w:name w:val="标题 3 Char"/>
    <w:qFormat/>
    <w:uiPriority w:val="0"/>
    <w:rPr>
      <w:rFonts w:ascii="宋体" w:eastAsia="宋体"/>
      <w:b/>
      <w:sz w:val="24"/>
      <w:u w:val="single"/>
      <w:lang w:val="en-US" w:eastAsia="zh-CN" w:bidi="ar-SA"/>
    </w:rPr>
  </w:style>
  <w:style w:type="character" w:customStyle="1" w:styleId="379">
    <w:name w:val="正文缩进 Char"/>
    <w:qFormat/>
    <w:uiPriority w:val="0"/>
    <w:rPr>
      <w:rFonts w:ascii="宋体" w:eastAsia="宋体"/>
      <w:sz w:val="24"/>
      <w:szCs w:val="24"/>
      <w:lang w:val="en-US" w:eastAsia="zh-CN" w:bidi="ar-SA"/>
    </w:rPr>
  </w:style>
  <w:style w:type="character" w:customStyle="1" w:styleId="380">
    <w:name w:val="Char Char111"/>
    <w:qFormat/>
    <w:uiPriority w:val="0"/>
    <w:rPr>
      <w:rFonts w:ascii="宋体" w:eastAsia="宋体"/>
      <w:b/>
      <w:sz w:val="24"/>
      <w:u w:val="single"/>
      <w:lang w:val="en-US" w:eastAsia="zh-CN" w:bidi="ar-SA"/>
    </w:rPr>
  </w:style>
  <w:style w:type="character" w:customStyle="1" w:styleId="381">
    <w:name w:val="正文文本缩进 Char"/>
    <w:qFormat/>
    <w:uiPriority w:val="99"/>
    <w:rPr>
      <w:rFonts w:eastAsia="宋体"/>
      <w:sz w:val="24"/>
      <w:szCs w:val="24"/>
      <w:lang w:val="en-US" w:eastAsia="zh-CN" w:bidi="ar-SA"/>
    </w:rPr>
  </w:style>
  <w:style w:type="character" w:customStyle="1" w:styleId="382">
    <w:name w:val="列出段落 Char"/>
    <w:qFormat/>
    <w:uiPriority w:val="0"/>
    <w:rPr>
      <w:rFonts w:ascii="Calibri" w:hAnsi="Calibri" w:eastAsia="宋体"/>
      <w:sz w:val="21"/>
      <w:szCs w:val="22"/>
      <w:lang w:val="en-US" w:eastAsia="zh-CN" w:bidi="ar-SA"/>
    </w:rPr>
  </w:style>
  <w:style w:type="character" w:customStyle="1" w:styleId="383">
    <w:name w:val="页眉 Char"/>
    <w:qFormat/>
    <w:uiPriority w:val="0"/>
    <w:rPr>
      <w:rFonts w:eastAsia="宋体"/>
      <w:sz w:val="18"/>
      <w:szCs w:val="18"/>
      <w:lang w:val="en-US" w:eastAsia="zh-CN" w:bidi="ar-SA"/>
    </w:rPr>
  </w:style>
  <w:style w:type="character" w:customStyle="1" w:styleId="384">
    <w:name w:val="标题 2 Char"/>
    <w:qFormat/>
    <w:uiPriority w:val="0"/>
    <w:rPr>
      <w:rFonts w:ascii="Arial" w:hAnsi="Arial" w:eastAsia="黑体"/>
      <w:b/>
      <w:sz w:val="30"/>
      <w:lang w:val="en-US" w:eastAsia="zh-CN" w:bidi="ar-SA"/>
    </w:rPr>
  </w:style>
  <w:style w:type="paragraph" w:customStyle="1" w:styleId="385">
    <w:name w:val="字元 字元2"/>
    <w:basedOn w:val="1"/>
    <w:qFormat/>
    <w:uiPriority w:val="0"/>
    <w:rPr>
      <w:rFonts w:ascii="Tahoma" w:hAnsi="Tahoma"/>
      <w:sz w:val="24"/>
      <w:szCs w:val="20"/>
    </w:rPr>
  </w:style>
  <w:style w:type="paragraph" w:customStyle="1" w:styleId="386">
    <w:name w:val="Char3 Char Char Char2"/>
    <w:basedOn w:val="1"/>
    <w:qFormat/>
    <w:uiPriority w:val="0"/>
    <w:rPr>
      <w:rFonts w:ascii="Tahoma" w:hAnsi="Tahoma"/>
      <w:sz w:val="24"/>
      <w:szCs w:val="20"/>
    </w:rPr>
  </w:style>
  <w:style w:type="paragraph" w:customStyle="1" w:styleId="387">
    <w:name w:val="正文文本缩进2"/>
    <w:basedOn w:val="1"/>
    <w:qFormat/>
    <w:uiPriority w:val="0"/>
    <w:pPr>
      <w:spacing w:line="480" w:lineRule="exact"/>
      <w:ind w:firstLine="480"/>
    </w:pPr>
    <w:rPr>
      <w:rFonts w:ascii="宋体" w:hAnsi="宋体"/>
      <w:sz w:val="24"/>
      <w:lang w:val="zh-CN"/>
    </w:rPr>
  </w:style>
  <w:style w:type="paragraph" w:customStyle="1" w:styleId="388">
    <w:name w:val="Char3"/>
    <w:basedOn w:val="1"/>
    <w:qFormat/>
    <w:uiPriority w:val="0"/>
    <w:pPr>
      <w:tabs>
        <w:tab w:val="left" w:pos="360"/>
      </w:tabs>
    </w:pPr>
    <w:rPr>
      <w:sz w:val="24"/>
    </w:rPr>
  </w:style>
  <w:style w:type="paragraph" w:customStyle="1" w:styleId="38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9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1">
    <w:name w:val="列出段落2"/>
    <w:basedOn w:val="1"/>
    <w:qFormat/>
    <w:uiPriority w:val="99"/>
    <w:pPr>
      <w:ind w:firstLine="420"/>
    </w:pPr>
    <w:rPr>
      <w:rFonts w:ascii="Calibri" w:hAnsi="Calibri"/>
      <w:szCs w:val="22"/>
    </w:rPr>
  </w:style>
  <w:style w:type="paragraph" w:customStyle="1" w:styleId="392">
    <w:name w:val="Char Char Char1 Char2"/>
    <w:basedOn w:val="1"/>
    <w:qFormat/>
    <w:uiPriority w:val="99"/>
    <w:rPr>
      <w:rFonts w:ascii="Tahoma" w:hAnsi="Tahoma"/>
      <w:sz w:val="24"/>
      <w:szCs w:val="20"/>
    </w:rPr>
  </w:style>
  <w:style w:type="paragraph" w:customStyle="1" w:styleId="393">
    <w:name w:val="Char Char Char2"/>
    <w:basedOn w:val="1"/>
    <w:qFormat/>
    <w:uiPriority w:val="0"/>
    <w:rPr>
      <w:rFonts w:ascii="Tahoma" w:hAnsi="Tahoma"/>
      <w:sz w:val="24"/>
      <w:szCs w:val="20"/>
    </w:rPr>
  </w:style>
  <w:style w:type="paragraph" w:customStyle="1" w:styleId="394">
    <w:name w:val="Char Char Char Char Char Char Char2"/>
    <w:basedOn w:val="1"/>
    <w:qFormat/>
    <w:uiPriority w:val="0"/>
    <w:pPr>
      <w:spacing w:line="360" w:lineRule="auto"/>
      <w:ind w:firstLine="200"/>
    </w:pPr>
    <w:rPr>
      <w:rFonts w:eastAsia="仿宋_GB2312"/>
      <w:sz w:val="24"/>
    </w:rPr>
  </w:style>
  <w:style w:type="paragraph" w:customStyle="1" w:styleId="39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96">
    <w:name w:val="修订1"/>
    <w:qFormat/>
    <w:uiPriority w:val="0"/>
    <w:rPr>
      <w:rFonts w:hint="default" w:ascii="Times New Roman" w:hAnsi="Times New Roman" w:eastAsia="宋体" w:cs="Times New Roman"/>
      <w:sz w:val="21"/>
      <w:szCs w:val="24"/>
    </w:rPr>
  </w:style>
  <w:style w:type="paragraph" w:customStyle="1" w:styleId="397">
    <w:name w:val="Char22"/>
    <w:basedOn w:val="1"/>
    <w:qFormat/>
    <w:uiPriority w:val="0"/>
    <w:rPr>
      <w:rFonts w:ascii="Tahoma" w:hAnsi="Tahoma"/>
      <w:sz w:val="24"/>
      <w:szCs w:val="20"/>
    </w:rPr>
  </w:style>
  <w:style w:type="paragraph" w:customStyle="1" w:styleId="398">
    <w:name w:val="Char Char Char Char Char Char Char Char Char Char2"/>
    <w:basedOn w:val="1"/>
    <w:qFormat/>
    <w:uiPriority w:val="0"/>
    <w:rPr>
      <w:rFonts w:ascii="宋体" w:hAnsi="宋体" w:cs="Courier New"/>
      <w:sz w:val="32"/>
      <w:szCs w:val="32"/>
    </w:rPr>
  </w:style>
  <w:style w:type="paragraph" w:customStyle="1" w:styleId="399">
    <w:name w:val="Char2 Char Char Char Char Char Char1"/>
    <w:basedOn w:val="1"/>
    <w:qFormat/>
    <w:uiPriority w:val="0"/>
    <w:pPr>
      <w:widowControl/>
      <w:spacing w:line="400" w:lineRule="exact"/>
      <w:jc w:val="center"/>
    </w:pPr>
  </w:style>
  <w:style w:type="character" w:customStyle="1" w:styleId="400">
    <w:name w:val="页脚 Char"/>
    <w:qFormat/>
    <w:uiPriority w:val="0"/>
    <w:rPr>
      <w:rFonts w:ascii="宋体" w:eastAsia="宋体"/>
      <w:sz w:val="18"/>
      <w:lang w:val="en-US" w:eastAsia="zh-CN" w:bidi="ar-SA"/>
    </w:rPr>
  </w:style>
  <w:style w:type="paragraph" w:customStyle="1" w:styleId="401">
    <w:name w:val="Char Char41"/>
    <w:basedOn w:val="1"/>
    <w:qFormat/>
    <w:uiPriority w:val="0"/>
    <w:pPr>
      <w:widowControl/>
      <w:spacing w:line="400" w:lineRule="exact"/>
      <w:jc w:val="center"/>
    </w:pPr>
  </w:style>
  <w:style w:type="character" w:customStyle="1" w:styleId="402">
    <w:name w:val="批注文字 Char"/>
    <w:qFormat/>
    <w:uiPriority w:val="99"/>
    <w:rPr>
      <w:sz w:val="21"/>
      <w:szCs w:val="24"/>
    </w:rPr>
  </w:style>
  <w:style w:type="character" w:customStyle="1" w:styleId="403">
    <w:name w:val="标题 Char"/>
    <w:qFormat/>
    <w:uiPriority w:val="10"/>
    <w:rPr>
      <w:b/>
      <w:sz w:val="32"/>
    </w:rPr>
  </w:style>
  <w:style w:type="paragraph" w:customStyle="1" w:styleId="404">
    <w:name w:val="图例"/>
    <w:basedOn w:val="1"/>
    <w:qFormat/>
    <w:uiPriority w:val="0"/>
    <w:pPr>
      <w:spacing w:before="120" w:after="120" w:line="360" w:lineRule="auto"/>
      <w:jc w:val="center"/>
    </w:pPr>
    <w:rPr>
      <w:rFonts w:eastAsia="仿宋_GB2312"/>
      <w:b/>
      <w:sz w:val="24"/>
      <w:szCs w:val="20"/>
    </w:rPr>
  </w:style>
  <w:style w:type="paragraph" w:customStyle="1" w:styleId="405">
    <w:name w:val="Table Paragraph"/>
    <w:basedOn w:val="1"/>
    <w:qFormat/>
    <w:uiPriority w:val="1"/>
    <w:pPr>
      <w:jc w:val="left"/>
    </w:pPr>
    <w:rPr>
      <w:rFonts w:ascii="宋体" w:hAnsi="宋体" w:cs="宋体"/>
      <w:sz w:val="22"/>
      <w:szCs w:val="22"/>
      <w:lang w:eastAsia="en-US"/>
    </w:rPr>
  </w:style>
  <w:style w:type="table" w:customStyle="1" w:styleId="406">
    <w:name w:val="Table Normal"/>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07">
    <w:name w:val="成文日期"/>
    <w:basedOn w:val="1"/>
    <w:link w:val="408"/>
    <w:qFormat/>
    <w:uiPriority w:val="0"/>
    <w:pPr>
      <w:spacing w:line="570" w:lineRule="exact"/>
      <w:ind w:right="400" w:firstLine="200"/>
      <w:jc w:val="right"/>
    </w:pPr>
    <w:rPr>
      <w:rFonts w:ascii="仿宋_GB2312" w:eastAsia="仿宋_GB2312"/>
      <w:sz w:val="32"/>
      <w:szCs w:val="20"/>
    </w:rPr>
  </w:style>
  <w:style w:type="character" w:customStyle="1" w:styleId="408">
    <w:name w:val="成文日期 Char"/>
    <w:link w:val="407"/>
    <w:qFormat/>
    <w:uiPriority w:val="0"/>
    <w:rPr>
      <w:rFonts w:ascii="仿宋_GB2312" w:eastAsia="仿宋_GB2312"/>
      <w:sz w:val="32"/>
    </w:rPr>
  </w:style>
  <w:style w:type="paragraph" w:customStyle="1" w:styleId="409">
    <w:name w:val="正文首行缩进1"/>
    <w:basedOn w:val="17"/>
    <w:link w:val="410"/>
    <w:qFormat/>
    <w:uiPriority w:val="99"/>
    <w:pPr>
      <w:tabs>
        <w:tab w:val="clear" w:pos="567"/>
      </w:tabs>
      <w:spacing w:before="0" w:after="120" w:line="240" w:lineRule="auto"/>
      <w:ind w:firstLine="420"/>
    </w:pPr>
    <w:rPr>
      <w:rFonts w:ascii="Times New Roman" w:hAnsi="Times New Roman"/>
      <w:sz w:val="21"/>
    </w:rPr>
  </w:style>
  <w:style w:type="character" w:customStyle="1" w:styleId="410">
    <w:name w:val="正文首行缩进 Char"/>
    <w:link w:val="409"/>
    <w:qFormat/>
    <w:uiPriority w:val="0"/>
    <w:rPr>
      <w:rFonts w:ascii="宋体" w:hAnsi="宋体"/>
      <w:sz w:val="21"/>
      <w:szCs w:val="24"/>
    </w:rPr>
  </w:style>
  <w:style w:type="paragraph" w:customStyle="1" w:styleId="411">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12">
    <w:name w:val="材料标题 Char"/>
    <w:link w:val="413"/>
    <w:qFormat/>
    <w:uiPriority w:val="0"/>
    <w:rPr>
      <w:rFonts w:ascii="方正小标宋简体" w:eastAsia="方正小标宋简体"/>
      <w:color w:val="000000"/>
      <w:sz w:val="44"/>
      <w:szCs w:val="44"/>
    </w:rPr>
  </w:style>
  <w:style w:type="paragraph" w:customStyle="1" w:styleId="413">
    <w:name w:val="材料标题"/>
    <w:basedOn w:val="1"/>
    <w:link w:val="412"/>
    <w:qFormat/>
    <w:uiPriority w:val="0"/>
    <w:pPr>
      <w:spacing w:line="700" w:lineRule="exact"/>
      <w:jc w:val="center"/>
    </w:pPr>
    <w:rPr>
      <w:rFonts w:ascii="方正小标宋简体" w:eastAsia="方正小标宋简体"/>
      <w:color w:val="000000"/>
      <w:sz w:val="44"/>
      <w:szCs w:val="44"/>
    </w:rPr>
  </w:style>
  <w:style w:type="character" w:customStyle="1" w:styleId="414">
    <w:name w:val="标题1"/>
    <w:qFormat/>
    <w:uiPriority w:val="0"/>
  </w:style>
  <w:style w:type="paragraph" w:customStyle="1" w:styleId="415">
    <w:name w:val="p_text_indent_2"/>
    <w:basedOn w:val="1"/>
    <w:qFormat/>
    <w:uiPriority w:val="0"/>
    <w:pPr>
      <w:ind w:firstLine="420"/>
      <w:jc w:val="left"/>
    </w:pPr>
    <w:rPr>
      <w:szCs w:val="20"/>
    </w:rPr>
  </w:style>
  <w:style w:type="character" w:customStyle="1" w:styleId="416">
    <w:name w:val="正文文本 字符2"/>
    <w:qFormat/>
    <w:uiPriority w:val="0"/>
    <w:rPr>
      <w:rFonts w:ascii="宋体" w:hAnsi="宋体"/>
      <w:sz w:val="24"/>
      <w:szCs w:val="24"/>
    </w:rPr>
  </w:style>
  <w:style w:type="paragraph" w:customStyle="1" w:styleId="417">
    <w:name w:val="Other|1"/>
    <w:basedOn w:val="1"/>
    <w:qFormat/>
    <w:uiPriority w:val="0"/>
    <w:pPr>
      <w:spacing w:line="432" w:lineRule="auto"/>
      <w:ind w:firstLine="400"/>
      <w:jc w:val="left"/>
    </w:pPr>
    <w:rPr>
      <w:rFonts w:ascii="宋体" w:hAnsi="宋体" w:cs="宋体"/>
      <w:sz w:val="26"/>
      <w:szCs w:val="26"/>
      <w:lang w:val="zh-TW" w:eastAsia="zh-TW" w:bidi="zh-TW"/>
    </w:rPr>
  </w:style>
  <w:style w:type="character" w:customStyle="1" w:styleId="418">
    <w:name w:val="标题 1 字符"/>
    <w:qFormat/>
    <w:uiPriority w:val="99"/>
    <w:rPr>
      <w:rFonts w:ascii="宋体"/>
      <w:b/>
      <w:sz w:val="32"/>
    </w:rPr>
  </w:style>
  <w:style w:type="character" w:customStyle="1" w:styleId="419">
    <w:name w:val="标题 2 字符"/>
    <w:qFormat/>
    <w:uiPriority w:val="99"/>
    <w:rPr>
      <w:rFonts w:ascii="Arial" w:hAnsi="Arial" w:eastAsia="黑体"/>
      <w:b/>
      <w:sz w:val="30"/>
      <w:lang w:val="en-US" w:eastAsia="zh-CN" w:bidi="ar-SA"/>
    </w:rPr>
  </w:style>
  <w:style w:type="character" w:customStyle="1" w:styleId="420">
    <w:name w:val="正文缩进 字符1"/>
    <w:qFormat/>
    <w:uiPriority w:val="0"/>
    <w:rPr>
      <w:rFonts w:ascii="宋体" w:eastAsia="宋体"/>
      <w:sz w:val="24"/>
      <w:szCs w:val="24"/>
      <w:lang w:val="en-US" w:eastAsia="zh-CN" w:bidi="ar-SA"/>
    </w:rPr>
  </w:style>
  <w:style w:type="character" w:customStyle="1" w:styleId="421">
    <w:name w:val="标题 3 字符"/>
    <w:qFormat/>
    <w:uiPriority w:val="99"/>
    <w:rPr>
      <w:rFonts w:ascii="宋体" w:eastAsia="宋体"/>
      <w:b/>
      <w:sz w:val="24"/>
      <w:u w:val="single"/>
      <w:lang w:val="en-US" w:eastAsia="zh-CN" w:bidi="ar-SA"/>
    </w:rPr>
  </w:style>
  <w:style w:type="character" w:customStyle="1" w:styleId="422">
    <w:name w:val="标题 4 字符"/>
    <w:qFormat/>
    <w:uiPriority w:val="0"/>
    <w:rPr>
      <w:rFonts w:ascii="Arial" w:hAnsi="Arial" w:eastAsia="黑体"/>
      <w:b/>
      <w:sz w:val="28"/>
    </w:rPr>
  </w:style>
  <w:style w:type="character" w:customStyle="1" w:styleId="423">
    <w:name w:val="标题 5 字符"/>
    <w:qFormat/>
    <w:uiPriority w:val="0"/>
    <w:rPr>
      <w:b/>
      <w:sz w:val="28"/>
    </w:rPr>
  </w:style>
  <w:style w:type="character" w:customStyle="1" w:styleId="424">
    <w:name w:val="标题 6 字符"/>
    <w:qFormat/>
    <w:uiPriority w:val="0"/>
    <w:rPr>
      <w:rFonts w:ascii="Arial" w:hAnsi="Arial" w:eastAsia="黑体"/>
      <w:b/>
      <w:sz w:val="24"/>
    </w:rPr>
  </w:style>
  <w:style w:type="character" w:customStyle="1" w:styleId="425">
    <w:name w:val="标题 7 字符"/>
    <w:qFormat/>
    <w:uiPriority w:val="0"/>
    <w:rPr>
      <w:b/>
      <w:sz w:val="24"/>
    </w:rPr>
  </w:style>
  <w:style w:type="character" w:customStyle="1" w:styleId="426">
    <w:name w:val="标题 8 字符"/>
    <w:qFormat/>
    <w:uiPriority w:val="0"/>
    <w:rPr>
      <w:rFonts w:ascii="Arial" w:hAnsi="Arial" w:eastAsia="黑体"/>
      <w:sz w:val="24"/>
    </w:rPr>
  </w:style>
  <w:style w:type="character" w:customStyle="1" w:styleId="427">
    <w:name w:val="标题 9 字符"/>
    <w:qFormat/>
    <w:uiPriority w:val="0"/>
    <w:rPr>
      <w:rFonts w:ascii="Arial" w:hAnsi="Arial" w:eastAsia="黑体"/>
      <w:sz w:val="21"/>
    </w:rPr>
  </w:style>
  <w:style w:type="character" w:customStyle="1" w:styleId="428">
    <w:name w:val="文档结构图 字符"/>
    <w:qFormat/>
    <w:uiPriority w:val="0"/>
    <w:rPr>
      <w:sz w:val="21"/>
      <w:szCs w:val="24"/>
      <w:shd w:val="clear" w:color="auto" w:fill="000080"/>
    </w:rPr>
  </w:style>
  <w:style w:type="character" w:customStyle="1" w:styleId="429">
    <w:name w:val="批注文字 字符1"/>
    <w:qFormat/>
    <w:uiPriority w:val="99"/>
    <w:rPr>
      <w:sz w:val="21"/>
      <w:szCs w:val="24"/>
    </w:rPr>
  </w:style>
  <w:style w:type="character" w:customStyle="1" w:styleId="430">
    <w:name w:val="正文文本 3 字符"/>
    <w:qFormat/>
    <w:uiPriority w:val="0"/>
    <w:rPr>
      <w:sz w:val="16"/>
      <w:szCs w:val="16"/>
    </w:rPr>
  </w:style>
  <w:style w:type="character" w:customStyle="1" w:styleId="431">
    <w:name w:val="正文文本缩进 字符"/>
    <w:qFormat/>
    <w:uiPriority w:val="0"/>
    <w:rPr>
      <w:rFonts w:eastAsia="宋体"/>
      <w:sz w:val="24"/>
      <w:szCs w:val="24"/>
      <w:lang w:val="en-US" w:eastAsia="zh-CN" w:bidi="ar-SA"/>
    </w:rPr>
  </w:style>
  <w:style w:type="character" w:customStyle="1" w:styleId="432">
    <w:name w:val="纯文本 字符2"/>
    <w:qFormat/>
    <w:uiPriority w:val="0"/>
    <w:rPr>
      <w:rFonts w:hint="eastAsia" w:ascii="宋体" w:hAnsi="Courier New" w:eastAsia="宋体" w:cs="宋体"/>
      <w:sz w:val="21"/>
    </w:rPr>
  </w:style>
  <w:style w:type="character" w:customStyle="1" w:styleId="433">
    <w:name w:val="日期 字符"/>
    <w:qFormat/>
    <w:uiPriority w:val="99"/>
    <w:rPr>
      <w:rFonts w:ascii="仿宋_GB2312" w:hAnsi="宋体" w:eastAsia="仿宋_GB2312"/>
      <w:color w:val="000000"/>
      <w:sz w:val="24"/>
      <w:szCs w:val="24"/>
    </w:rPr>
  </w:style>
  <w:style w:type="character" w:customStyle="1" w:styleId="434">
    <w:name w:val="正文文本缩进 2 字符"/>
    <w:qFormat/>
    <w:uiPriority w:val="0"/>
    <w:rPr>
      <w:rFonts w:ascii="仿宋_GB2312" w:eastAsia="仿宋_GB2312"/>
      <w:sz w:val="24"/>
      <w:szCs w:val="24"/>
    </w:rPr>
  </w:style>
  <w:style w:type="character" w:customStyle="1" w:styleId="435">
    <w:name w:val="批注框文本 字符"/>
    <w:qFormat/>
    <w:uiPriority w:val="99"/>
    <w:rPr>
      <w:sz w:val="18"/>
      <w:szCs w:val="18"/>
    </w:rPr>
  </w:style>
  <w:style w:type="character" w:customStyle="1" w:styleId="436">
    <w:name w:val="页脚 字符"/>
    <w:qFormat/>
    <w:uiPriority w:val="99"/>
    <w:rPr>
      <w:rFonts w:ascii="宋体" w:eastAsia="宋体"/>
      <w:sz w:val="18"/>
      <w:lang w:val="en-US" w:eastAsia="zh-CN" w:bidi="ar-SA"/>
    </w:rPr>
  </w:style>
  <w:style w:type="character" w:customStyle="1" w:styleId="437">
    <w:name w:val="页眉 字符"/>
    <w:qFormat/>
    <w:uiPriority w:val="99"/>
    <w:rPr>
      <w:rFonts w:eastAsia="宋体"/>
      <w:sz w:val="18"/>
      <w:szCs w:val="18"/>
      <w:lang w:val="en-US" w:eastAsia="zh-CN" w:bidi="ar-SA"/>
    </w:rPr>
  </w:style>
  <w:style w:type="character" w:customStyle="1" w:styleId="438">
    <w:name w:val="正文文本缩进 3 字符"/>
    <w:qFormat/>
    <w:uiPriority w:val="0"/>
    <w:rPr>
      <w:rFonts w:ascii="宋体"/>
      <w:sz w:val="24"/>
    </w:rPr>
  </w:style>
  <w:style w:type="character" w:customStyle="1" w:styleId="439">
    <w:name w:val="HTML 预设格式 字符"/>
    <w:qFormat/>
    <w:uiPriority w:val="0"/>
    <w:rPr>
      <w:rFonts w:ascii="宋体" w:hAnsi="宋体" w:cs="宋体"/>
      <w:sz w:val="24"/>
      <w:szCs w:val="24"/>
    </w:rPr>
  </w:style>
  <w:style w:type="character" w:customStyle="1" w:styleId="440">
    <w:name w:val="标题 字符"/>
    <w:qFormat/>
    <w:uiPriority w:val="0"/>
    <w:rPr>
      <w:b/>
      <w:sz w:val="32"/>
    </w:rPr>
  </w:style>
  <w:style w:type="character" w:customStyle="1" w:styleId="441">
    <w:name w:val="批注主题 字符"/>
    <w:qFormat/>
    <w:uiPriority w:val="0"/>
    <w:rPr>
      <w:rFonts w:ascii="Times New Roman" w:hAnsi="Times New Roman" w:eastAsia="宋体" w:cs="Times New Roman"/>
      <w:b/>
      <w:bCs/>
      <w:sz w:val="21"/>
      <w:szCs w:val="24"/>
      <w:lang w:val="en-US" w:eastAsia="zh-CN" w:bidi="ar-SA"/>
    </w:rPr>
  </w:style>
  <w:style w:type="paragraph" w:customStyle="1" w:styleId="442">
    <w:name w:val="修订11"/>
    <w:qFormat/>
    <w:uiPriority w:val="0"/>
    <w:rPr>
      <w:rFonts w:hint="default" w:ascii="Times New Roman" w:hAnsi="Times New Roman" w:eastAsia="宋体" w:cs="Times New Roman"/>
      <w:sz w:val="21"/>
      <w:szCs w:val="24"/>
    </w:rPr>
  </w:style>
  <w:style w:type="paragraph" w:customStyle="1" w:styleId="443">
    <w:name w:val="纯文本1"/>
    <w:next w:val="33"/>
    <w:link w:val="444"/>
    <w:qFormat/>
    <w:uiPriority w:val="0"/>
    <w:pPr>
      <w:widowControl w:val="0"/>
      <w:jc w:val="both"/>
    </w:pPr>
    <w:rPr>
      <w:rFonts w:hint="default" w:ascii="宋体" w:hAnsi="宋体" w:eastAsia="宋体" w:cs="Times New Roman"/>
      <w:sz w:val="26"/>
    </w:rPr>
  </w:style>
  <w:style w:type="character" w:customStyle="1" w:styleId="444">
    <w:name w:val="Plain Text Char"/>
    <w:link w:val="443"/>
    <w:qFormat/>
    <w:uiPriority w:val="0"/>
    <w:rPr>
      <w:rFonts w:ascii="宋体" w:hAnsi="宋体"/>
      <w:sz w:val="26"/>
    </w:rPr>
  </w:style>
  <w:style w:type="paragraph" w:customStyle="1" w:styleId="445">
    <w:name w:val="TOC 标题1"/>
    <w:basedOn w:val="2"/>
    <w:next w:val="1"/>
    <w:unhideWhenUsed/>
    <w:qFormat/>
    <w:uiPriority w:val="39"/>
    <w:pPr>
      <w:widowControl/>
      <w:spacing w:after="0" w:line="259" w:lineRule="auto"/>
      <w:jc w:val="left"/>
      <w:outlineLvl w:val="9"/>
    </w:pPr>
    <w:rPr>
      <w:rFonts w:ascii="等线 Light" w:hAnsi="等线 Light" w:eastAsia="等线 Light"/>
      <w:b w:val="0"/>
      <w:color w:val="2F5496"/>
      <w:szCs w:val="32"/>
    </w:rPr>
  </w:style>
  <w:style w:type="character" w:customStyle="1" w:styleId="446">
    <w:name w:val="正文缩进 字符"/>
    <w:qFormat/>
    <w:uiPriority w:val="0"/>
    <w:rPr>
      <w:sz w:val="21"/>
    </w:rPr>
  </w:style>
  <w:style w:type="paragraph" w:customStyle="1" w:styleId="447">
    <w:name w:val="☆ 正文"/>
    <w:basedOn w:val="1"/>
    <w:qFormat/>
    <w:uiPriority w:val="0"/>
    <w:pPr>
      <w:widowControl/>
      <w:spacing w:after="200"/>
      <w:jc w:val="left"/>
    </w:pPr>
    <w:rPr>
      <w:rFonts w:ascii="Calibri" w:hAnsi="Calibri" w:eastAsia="微软雅黑"/>
      <w:sz w:val="22"/>
      <w:szCs w:val="22"/>
      <w:lang w:val="zh-CN"/>
    </w:rPr>
  </w:style>
  <w:style w:type="paragraph" w:customStyle="1" w:styleId="448">
    <w:name w:val="首行缩进"/>
    <w:basedOn w:val="1"/>
    <w:qFormat/>
    <w:uiPriority w:val="0"/>
    <w:pPr>
      <w:widowControl/>
      <w:spacing w:after="200"/>
      <w:ind w:firstLine="480"/>
      <w:jc w:val="left"/>
    </w:pPr>
    <w:rPr>
      <w:rFonts w:ascii="Calibri" w:hAnsi="Calibri"/>
      <w:sz w:val="22"/>
      <w:szCs w:val="22"/>
      <w:lang w:val="zh-CN"/>
    </w:rPr>
  </w:style>
  <w:style w:type="paragraph" w:customStyle="1" w:styleId="449">
    <w:name w:val="！正文"/>
    <w:basedOn w:val="1"/>
    <w:qFormat/>
    <w:uiPriority w:val="0"/>
    <w:pPr>
      <w:widowControl/>
      <w:spacing w:after="200" w:line="360" w:lineRule="auto"/>
      <w:ind w:firstLine="420"/>
      <w:jc w:val="left"/>
    </w:pPr>
    <w:rPr>
      <w:rFonts w:ascii="Tahoma" w:hAnsi="Tahoma"/>
      <w:sz w:val="18"/>
      <w:szCs w:val="22"/>
    </w:rPr>
  </w:style>
  <w:style w:type="character" w:customStyle="1" w:styleId="450">
    <w:name w:val="列表段落 字符"/>
    <w:qFormat/>
    <w:uiPriority w:val="34"/>
    <w:rPr>
      <w:rFonts w:ascii="Calibri" w:hAnsi="Calibri" w:eastAsia="宋体"/>
      <w:sz w:val="21"/>
      <w:szCs w:val="22"/>
      <w:lang w:val="en-US" w:eastAsia="zh-CN" w:bidi="ar-SA"/>
    </w:rPr>
  </w:style>
  <w:style w:type="character" w:customStyle="1" w:styleId="451">
    <w:name w:val="正文文本 字符"/>
    <w:qFormat/>
    <w:uiPriority w:val="0"/>
    <w:rPr>
      <w:rFonts w:ascii="宋体" w:hAnsi="宋体"/>
      <w:sz w:val="24"/>
      <w:szCs w:val="24"/>
    </w:rPr>
  </w:style>
  <w:style w:type="character" w:customStyle="1" w:styleId="452">
    <w:name w:val="NormalCharacter"/>
    <w:semiHidden/>
    <w:qFormat/>
    <w:uiPriority w:val="0"/>
    <w:rPr>
      <w:rFonts w:ascii="Calibri" w:hAnsi="Calibri" w:eastAsia="宋体" w:cs="Times New Roman"/>
      <w:sz w:val="21"/>
      <w:szCs w:val="24"/>
      <w:lang w:val="en-US" w:eastAsia="zh-CN" w:bidi="ar-SA"/>
    </w:rPr>
  </w:style>
  <w:style w:type="character" w:customStyle="1" w:styleId="453">
    <w:name w:val="正文文本 字符1"/>
    <w:qFormat/>
    <w:uiPriority w:val="0"/>
    <w:rPr>
      <w:rFonts w:ascii="宋体" w:hAnsi="宋体" w:eastAsia="宋体" w:cs="Times New Roman"/>
      <w:sz w:val="24"/>
      <w:szCs w:val="24"/>
    </w:rPr>
  </w:style>
  <w:style w:type="paragraph" w:customStyle="1" w:styleId="454">
    <w:name w:val="括号样式"/>
    <w:basedOn w:val="4"/>
    <w:qFormat/>
    <w:uiPriority w:val="0"/>
    <w:pPr>
      <w:spacing w:line="360" w:lineRule="auto"/>
      <w:ind w:left="1020" w:hanging="600"/>
      <w:jc w:val="both"/>
    </w:pPr>
    <w:rPr>
      <w:rFonts w:ascii="Times New Roman" w:cs="宋体"/>
      <w:szCs w:val="20"/>
    </w:rPr>
  </w:style>
  <w:style w:type="paragraph" w:customStyle="1" w:styleId="455">
    <w:name w:val="修订2"/>
    <w:unhideWhenUsed/>
    <w:qFormat/>
    <w:uiPriority w:val="99"/>
    <w:rPr>
      <w:rFonts w:hint="default" w:ascii="Times New Roman" w:hAnsi="Times New Roman" w:eastAsia="宋体" w:cs="Times New Roman"/>
      <w:sz w:val="21"/>
      <w:szCs w:val="24"/>
    </w:rPr>
  </w:style>
  <w:style w:type="character" w:customStyle="1" w:styleId="456">
    <w:name w:val="正文文本首行缩进 2 字符"/>
    <w:qFormat/>
    <w:uiPriority w:val="0"/>
  </w:style>
  <w:style w:type="paragraph" w:customStyle="1" w:styleId="457">
    <w:name w:val="修订21"/>
    <w:qFormat/>
    <w:uiPriority w:val="0"/>
    <w:rPr>
      <w:rFonts w:hint="default" w:ascii="Times New Roman" w:hAnsi="Times New Roman" w:eastAsia="宋体" w:cs="Times New Roman"/>
      <w:sz w:val="21"/>
      <w:szCs w:val="24"/>
    </w:rPr>
  </w:style>
  <w:style w:type="paragraph" w:customStyle="1" w:styleId="458">
    <w:name w:val="WPSOffice手动目录 1"/>
    <w:qFormat/>
    <w:uiPriority w:val="0"/>
    <w:rPr>
      <w:rFonts w:hint="default" w:ascii="Times New Roman" w:hAnsi="Times New Roman" w:eastAsia="宋体" w:cs="Times New Roman"/>
    </w:rPr>
  </w:style>
  <w:style w:type="paragraph" w:customStyle="1" w:styleId="459">
    <w:name w:val="WPSOffice手动目录 2"/>
    <w:qFormat/>
    <w:uiPriority w:val="0"/>
    <w:pPr>
      <w:ind w:left="200"/>
    </w:pPr>
    <w:rPr>
      <w:rFonts w:hint="default" w:ascii="Times New Roman" w:hAnsi="Times New Roman" w:eastAsia="宋体" w:cs="Times New Roman"/>
    </w:rPr>
  </w:style>
  <w:style w:type="character" w:customStyle="1" w:styleId="460">
    <w:name w:val="cf01"/>
    <w:qFormat/>
    <w:uiPriority w:val="0"/>
    <w:rPr>
      <w:rFonts w:hint="eastAsia" w:ascii="Microsoft YaHei UI" w:hAnsi="Microsoft YaHei UI" w:eastAsia="Microsoft YaHei UI"/>
      <w:sz w:val="18"/>
      <w:szCs w:val="18"/>
    </w:rPr>
  </w:style>
  <w:style w:type="paragraph" w:customStyle="1" w:styleId="461">
    <w:name w:val="修订3"/>
    <w:qFormat/>
    <w:uiPriority w:val="0"/>
    <w:rPr>
      <w:rFonts w:hint="default" w:ascii="Times New Roman" w:hAnsi="Times New Roman" w:eastAsia="宋体" w:cs="Times New Roman"/>
      <w:sz w:val="21"/>
      <w:szCs w:val="24"/>
    </w:rPr>
  </w:style>
  <w:style w:type="paragraph" w:customStyle="1" w:styleId="462">
    <w:name w:val="正文 A"/>
    <w:qFormat/>
    <w:uiPriority w:val="0"/>
    <w:pPr>
      <w:widowControl w:val="0"/>
      <w:jc w:val="both"/>
    </w:pPr>
    <w:rPr>
      <w:rFonts w:hint="default" w:ascii="Times New Roman" w:hAnsi="Times New Roman" w:eastAsia="Times New Roman" w:cs="Times New Roman"/>
      <w:color w:val="000000"/>
      <w:sz w:val="21"/>
      <w:szCs w:val="21"/>
    </w:rPr>
  </w:style>
  <w:style w:type="character" w:customStyle="1" w:styleId="463">
    <w:name w:val="未处理的提及1"/>
    <w:unhideWhenUsed/>
    <w:qFormat/>
    <w:uiPriority w:val="99"/>
    <w:rPr>
      <w:color w:val="605E5C"/>
      <w:shd w:val="clear" w:color="auto" w:fill="E1DFDD"/>
    </w:rPr>
  </w:style>
  <w:style w:type="paragraph" w:customStyle="1" w:styleId="464">
    <w:name w:val="段"/>
    <w:next w:val="1"/>
    <w:qFormat/>
    <w:uiPriority w:val="0"/>
    <w:pPr>
      <w:spacing w:line="360" w:lineRule="auto"/>
      <w:ind w:firstLine="200"/>
      <w:jc w:val="both"/>
    </w:pPr>
    <w:rPr>
      <w:rFonts w:hint="default" w:ascii="宋体" w:hAnsi="Times New Roman" w:eastAsia="宋体" w:cs="Times New Roman"/>
      <w:sz w:val="24"/>
      <w:szCs w:val="22"/>
    </w:rPr>
  </w:style>
  <w:style w:type="character" w:customStyle="1" w:styleId="465">
    <w:name w:val="引用 Char"/>
    <w:link w:val="466"/>
    <w:qFormat/>
    <w:uiPriority w:val="99"/>
    <w:rPr>
      <w:rFonts w:eastAsia="仿宋_GB2312"/>
      <w:color w:val="000000"/>
      <w:sz w:val="24"/>
    </w:rPr>
  </w:style>
  <w:style w:type="paragraph" w:customStyle="1" w:styleId="466">
    <w:name w:val="引用1"/>
    <w:basedOn w:val="1"/>
    <w:next w:val="1"/>
    <w:link w:val="465"/>
    <w:qFormat/>
    <w:uiPriority w:val="99"/>
    <w:rPr>
      <w:rFonts w:eastAsia="仿宋_GB2312"/>
      <w:color w:val="000000"/>
      <w:sz w:val="24"/>
      <w:szCs w:val="20"/>
    </w:rPr>
  </w:style>
  <w:style w:type="character" w:customStyle="1" w:styleId="467">
    <w:name w:val="不明显强调1"/>
    <w:qFormat/>
    <w:uiPriority w:val="19"/>
    <w:rPr>
      <w:i/>
      <w:iCs/>
      <w:color w:val="808080"/>
    </w:rPr>
  </w:style>
  <w:style w:type="character" w:customStyle="1" w:styleId="468">
    <w:name w:val="已访问的超链接1"/>
    <w:qFormat/>
    <w:uiPriority w:val="99"/>
    <w:rPr>
      <w:rFonts w:ascii="Times New Roman"/>
    </w:rPr>
  </w:style>
  <w:style w:type="character" w:customStyle="1" w:styleId="469">
    <w:name w:val="Placeholder Text1"/>
    <w:semiHidden/>
    <w:qFormat/>
    <w:uiPriority w:val="99"/>
    <w:rPr>
      <w:rFonts w:cs="Times New Roman"/>
      <w:color w:val="808080"/>
    </w:rPr>
  </w:style>
  <w:style w:type="character" w:customStyle="1" w:styleId="470">
    <w:name w:val="info1"/>
    <w:qFormat/>
    <w:uiPriority w:val="99"/>
    <w:rPr>
      <w:sz w:val="29"/>
    </w:rPr>
  </w:style>
  <w:style w:type="paragraph" w:customStyle="1" w:styleId="471">
    <w:name w:val="Char Char Char1 Char3"/>
    <w:basedOn w:val="1"/>
    <w:qFormat/>
    <w:uiPriority w:val="99"/>
    <w:pPr>
      <w:spacing w:line="360" w:lineRule="auto"/>
      <w:ind w:firstLine="200"/>
    </w:pPr>
    <w:rPr>
      <w:rFonts w:ascii="宋体" w:hAnsi="宋体"/>
      <w:sz w:val="24"/>
      <w:szCs w:val="20"/>
    </w:rPr>
  </w:style>
  <w:style w:type="paragraph" w:customStyle="1" w:styleId="472">
    <w:name w:val="p0"/>
    <w:basedOn w:val="1"/>
    <w:qFormat/>
    <w:uiPriority w:val="99"/>
    <w:pPr>
      <w:widowControl/>
    </w:pPr>
    <w:rPr>
      <w:szCs w:val="20"/>
    </w:rPr>
  </w:style>
  <w:style w:type="paragraph" w:customStyle="1" w:styleId="473">
    <w:name w:val="Char Char Char1 Char6"/>
    <w:basedOn w:val="1"/>
    <w:qFormat/>
    <w:uiPriority w:val="99"/>
    <w:pPr>
      <w:spacing w:line="360" w:lineRule="auto"/>
      <w:ind w:firstLine="200"/>
    </w:pPr>
    <w:rPr>
      <w:rFonts w:ascii="宋体" w:hAnsi="宋体"/>
      <w:sz w:val="24"/>
      <w:szCs w:val="20"/>
    </w:rPr>
  </w:style>
  <w:style w:type="paragraph" w:customStyle="1" w:styleId="474">
    <w:name w:val="Char Char Char1 Char4"/>
    <w:basedOn w:val="1"/>
    <w:qFormat/>
    <w:uiPriority w:val="99"/>
    <w:pPr>
      <w:spacing w:line="360" w:lineRule="auto"/>
      <w:ind w:firstLine="200"/>
    </w:pPr>
    <w:rPr>
      <w:rFonts w:ascii="宋体" w:hAnsi="宋体"/>
      <w:sz w:val="24"/>
      <w:szCs w:val="20"/>
    </w:rPr>
  </w:style>
  <w:style w:type="paragraph" w:customStyle="1" w:styleId="475">
    <w:name w:val="Char Char Char Char"/>
    <w:basedOn w:val="1"/>
    <w:qFormat/>
    <w:uiPriority w:val="99"/>
    <w:rPr>
      <w:szCs w:val="20"/>
    </w:rPr>
  </w:style>
  <w:style w:type="paragraph" w:customStyle="1" w:styleId="476">
    <w:name w:val="Char Char Char1 Char8"/>
    <w:basedOn w:val="1"/>
    <w:qFormat/>
    <w:uiPriority w:val="99"/>
    <w:pPr>
      <w:spacing w:line="360" w:lineRule="auto"/>
      <w:ind w:firstLine="200"/>
    </w:pPr>
    <w:rPr>
      <w:szCs w:val="20"/>
    </w:rPr>
  </w:style>
  <w:style w:type="paragraph" w:customStyle="1" w:styleId="477">
    <w:name w:val="Char Char Char Char1"/>
    <w:basedOn w:val="1"/>
    <w:qFormat/>
    <w:uiPriority w:val="99"/>
    <w:pPr>
      <w:spacing w:line="360" w:lineRule="auto"/>
      <w:ind w:firstLine="200"/>
    </w:pPr>
    <w:rPr>
      <w:szCs w:val="20"/>
    </w:rPr>
  </w:style>
  <w:style w:type="paragraph" w:customStyle="1" w:styleId="478">
    <w:name w:val="样式4"/>
    <w:basedOn w:val="3"/>
    <w:qFormat/>
    <w:uiPriority w:val="99"/>
    <w:pPr>
      <w:spacing w:before="0" w:line="240" w:lineRule="auto"/>
    </w:pPr>
    <w:rPr>
      <w:b w:val="0"/>
      <w:sz w:val="28"/>
    </w:rPr>
  </w:style>
  <w:style w:type="paragraph" w:customStyle="1" w:styleId="479">
    <w:name w:val="样式3"/>
    <w:basedOn w:val="3"/>
    <w:qFormat/>
    <w:uiPriority w:val="99"/>
    <w:pPr>
      <w:spacing w:before="0" w:line="240" w:lineRule="auto"/>
    </w:pPr>
    <w:rPr>
      <w:b w:val="0"/>
      <w:sz w:val="28"/>
    </w:rPr>
  </w:style>
  <w:style w:type="paragraph" w:customStyle="1" w:styleId="480">
    <w:name w:val="正文文本缩进 3 Char Char"/>
    <w:basedOn w:val="1"/>
    <w:qFormat/>
    <w:uiPriority w:val="99"/>
    <w:pPr>
      <w:spacing w:line="400" w:lineRule="exact"/>
      <w:ind w:firstLine="479"/>
    </w:pPr>
    <w:rPr>
      <w:rFonts w:ascii="仿宋_GB2312" w:eastAsia="仿宋_GB2312"/>
      <w:szCs w:val="20"/>
    </w:rPr>
  </w:style>
  <w:style w:type="paragraph" w:customStyle="1" w:styleId="481">
    <w:name w:val="Char Char Char1 Char7"/>
    <w:basedOn w:val="1"/>
    <w:qFormat/>
    <w:uiPriority w:val="99"/>
    <w:pPr>
      <w:spacing w:line="360" w:lineRule="auto"/>
      <w:ind w:firstLine="200"/>
    </w:pPr>
    <w:rPr>
      <w:rFonts w:ascii="宋体" w:hAnsi="宋体"/>
      <w:sz w:val="24"/>
      <w:szCs w:val="20"/>
    </w:rPr>
  </w:style>
  <w:style w:type="paragraph" w:customStyle="1" w:styleId="482">
    <w:name w:val="_Style 49"/>
    <w:basedOn w:val="1"/>
    <w:next w:val="23"/>
    <w:qFormat/>
    <w:uiPriority w:val="99"/>
    <w:rPr>
      <w:rFonts w:ascii="宋体" w:hAnsi="Courier New"/>
      <w:sz w:val="24"/>
      <w:szCs w:val="20"/>
    </w:rPr>
  </w:style>
  <w:style w:type="paragraph" w:customStyle="1" w:styleId="483">
    <w:name w:val="正文文本缩进 Char Char"/>
    <w:basedOn w:val="1"/>
    <w:qFormat/>
    <w:uiPriority w:val="99"/>
    <w:pPr>
      <w:spacing w:after="120"/>
      <w:ind w:left="420"/>
    </w:pPr>
    <w:rPr>
      <w:szCs w:val="20"/>
    </w:rPr>
  </w:style>
  <w:style w:type="paragraph" w:customStyle="1" w:styleId="484">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485">
    <w:name w:val="Char Char Char1 Char Char Char Char"/>
    <w:basedOn w:val="1"/>
    <w:qFormat/>
    <w:uiPriority w:val="99"/>
    <w:rPr>
      <w:rFonts w:ascii="宋体" w:hAnsi="宋体" w:cs="Courier New"/>
      <w:sz w:val="32"/>
      <w:szCs w:val="32"/>
    </w:rPr>
  </w:style>
  <w:style w:type="paragraph" w:customStyle="1" w:styleId="486">
    <w:name w:val="Char Char Char1 Char5"/>
    <w:basedOn w:val="1"/>
    <w:qFormat/>
    <w:uiPriority w:val="99"/>
    <w:pPr>
      <w:spacing w:line="360" w:lineRule="auto"/>
      <w:ind w:firstLine="200"/>
    </w:pPr>
    <w:rPr>
      <w:rFonts w:ascii="宋体" w:hAnsi="宋体"/>
      <w:sz w:val="24"/>
      <w:szCs w:val="20"/>
    </w:rPr>
  </w:style>
  <w:style w:type="paragraph" w:customStyle="1" w:styleId="487">
    <w:name w:val="样式1"/>
    <w:basedOn w:val="3"/>
    <w:qFormat/>
    <w:uiPriority w:val="99"/>
    <w:pPr>
      <w:spacing w:before="0" w:line="415" w:lineRule="auto"/>
    </w:pPr>
    <w:rPr>
      <w:b w:val="0"/>
      <w:sz w:val="28"/>
    </w:rPr>
  </w:style>
  <w:style w:type="character" w:customStyle="1" w:styleId="488">
    <w:name w:val="font61"/>
    <w:qFormat/>
    <w:uiPriority w:val="0"/>
    <w:rPr>
      <w:rFonts w:hint="default" w:ascii="Times New Roman" w:hAnsi="Times New Roman" w:cs="Times New Roman"/>
      <w:color w:val="000000"/>
      <w:sz w:val="20"/>
      <w:szCs w:val="20"/>
      <w:u w:val="none"/>
    </w:rPr>
  </w:style>
  <w:style w:type="character" w:customStyle="1" w:styleId="489">
    <w:name w:val="font11"/>
    <w:qFormat/>
    <w:uiPriority w:val="0"/>
    <w:rPr>
      <w:rFonts w:hint="eastAsia" w:ascii="宋体" w:hAnsi="宋体" w:eastAsia="宋体" w:cs="宋体"/>
      <w:color w:val="000000"/>
      <w:sz w:val="20"/>
      <w:szCs w:val="20"/>
      <w:u w:val="none"/>
    </w:rPr>
  </w:style>
  <w:style w:type="character" w:customStyle="1" w:styleId="490">
    <w:name w:val="font21"/>
    <w:qFormat/>
    <w:uiPriority w:val="0"/>
    <w:rPr>
      <w:rFonts w:hint="eastAsia" w:ascii="宋体" w:hAnsi="宋体" w:eastAsia="宋体" w:cs="宋体"/>
      <w:color w:val="000000"/>
      <w:sz w:val="22"/>
      <w:szCs w:val="22"/>
      <w:u w:val="none"/>
    </w:rPr>
  </w:style>
  <w:style w:type="character" w:customStyle="1" w:styleId="491">
    <w:name w:val="font81"/>
    <w:qFormat/>
    <w:uiPriority w:val="0"/>
    <w:rPr>
      <w:rFonts w:hint="default" w:ascii="Times New Roman" w:hAnsi="Times New Roman" w:cs="Times New Roman"/>
      <w:color w:val="000000"/>
      <w:sz w:val="24"/>
      <w:szCs w:val="24"/>
      <w:u w:val="none"/>
    </w:rPr>
  </w:style>
  <w:style w:type="paragraph" w:customStyle="1" w:styleId="492">
    <w:name w:val="纯文本2"/>
    <w:basedOn w:val="1"/>
    <w:qFormat/>
    <w:uiPriority w:val="0"/>
    <w:rPr>
      <w:rFonts w:ascii="宋体" w:hAnsi="Courier New" w:eastAsia="楷体_GB2312"/>
      <w:sz w:val="26"/>
      <w:szCs w:val="20"/>
    </w:rPr>
  </w:style>
  <w:style w:type="paragraph" w:customStyle="1" w:styleId="493">
    <w:name w:val="BodyText"/>
    <w:basedOn w:val="1"/>
    <w:next w:val="1"/>
    <w:qFormat/>
    <w:uiPriority w:val="0"/>
    <w:pPr>
      <w:widowControl/>
      <w:spacing w:after="120"/>
    </w:pPr>
    <w:rPr>
      <w:szCs w:val="20"/>
    </w:rPr>
  </w:style>
  <w:style w:type="paragraph" w:customStyle="1" w:styleId="494">
    <w:name w:val="ParaAttribute5"/>
    <w:qFormat/>
    <w:uiPriority w:val="0"/>
    <w:pPr>
      <w:widowControl w:val="0"/>
      <w:spacing w:line="400" w:lineRule="exact"/>
      <w:ind w:firstLine="480"/>
      <w:jc w:val="both"/>
    </w:pPr>
    <w:rPr>
      <w:rFonts w:hint="default" w:ascii="Times New Roman" w:hAnsi="Times New Roman" w:eastAsia="Batang" w:cs="Times New Roman"/>
    </w:rPr>
  </w:style>
  <w:style w:type="character" w:customStyle="1" w:styleId="495">
    <w:name w:val="fontstyle01"/>
    <w:qFormat/>
    <w:uiPriority w:val="0"/>
    <w:rPr>
      <w:rFonts w:ascii="宋体" w:hAnsi="宋体" w:eastAsia="宋体" w:cs="宋体"/>
      <w:color w:val="000000"/>
      <w:sz w:val="22"/>
      <w:szCs w:val="22"/>
    </w:rPr>
  </w:style>
  <w:style w:type="character" w:customStyle="1" w:styleId="496">
    <w:name w:val="font01"/>
    <w:qFormat/>
    <w:uiPriority w:val="0"/>
    <w:rPr>
      <w:rFonts w:hint="eastAsia" w:ascii="宋体" w:hAnsi="宋体" w:eastAsia="宋体" w:cs="宋体"/>
      <w:color w:val="000000"/>
      <w:sz w:val="22"/>
      <w:szCs w:val="22"/>
      <w:u w:val="none"/>
    </w:rPr>
  </w:style>
  <w:style w:type="character" w:customStyle="1" w:styleId="497">
    <w:name w:val="正文文本首行缩进 字符1"/>
    <w:basedOn w:val="236"/>
    <w:semiHidden/>
    <w:qFormat/>
    <w:uiPriority w:val="99"/>
    <w:rPr>
      <w:rFonts w:ascii="宋体" w:hAnsi="宋体"/>
      <w:sz w:val="21"/>
      <w:szCs w:val="24"/>
    </w:rPr>
  </w:style>
  <w:style w:type="paragraph" w:customStyle="1" w:styleId="498">
    <w:name w:val="Table Text"/>
    <w:basedOn w:val="1"/>
    <w:semiHidden/>
    <w:qFormat/>
    <w:uiPriority w:val="0"/>
    <w:rPr>
      <w:rFonts w:ascii="宋体" w:hAnsi="宋体" w:eastAsia="宋体" w:cs="宋体"/>
      <w:sz w:val="21"/>
      <w:szCs w:val="21"/>
      <w:lang w:val="en-US" w:eastAsia="en-US" w:bidi="ar-SA"/>
    </w:rPr>
  </w:style>
  <w:style w:type="paragraph" w:customStyle="1" w:styleId="499">
    <w:name w:val="正文缩进11"/>
    <w:basedOn w:val="1"/>
    <w:next w:val="1"/>
    <w:qFormat/>
    <w:uiPriority w:val="0"/>
    <w:pPr>
      <w:ind w:firstLine="420"/>
      <w:jc w:val="left"/>
    </w:pPr>
    <w:rPr>
      <w:rFonts w:ascii="宋体"/>
      <w:sz w:val="24"/>
    </w:rPr>
  </w:style>
  <w:style w:type="paragraph" w:customStyle="1" w:styleId="500">
    <w:name w:val="纯文本11"/>
    <w:basedOn w:val="1"/>
    <w:next w:val="499"/>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125</Pages>
  <Words>2624</Words>
  <Characters>2901</Characters>
  <TotalTime>22</TotalTime>
  <ScaleCrop>false</ScaleCrop>
  <LinksUpToDate>false</LinksUpToDate>
  <CharactersWithSpaces>2983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2024-08-22T03:18:00Z</dcterms:created>
  <dc:creator>Yin Hao</dc:creator>
  <cp:lastModifiedBy>Mayn</cp:lastModifiedBy>
  <dcterms:modified xsi:type="dcterms:W3CDTF">2026-01-27T02:29:02Z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C7A80D50A37F4A47BACF97E27F6E8A05_13</vt:lpwstr>
  </property>
  <property fmtid="{D5CDD505-2E9C-101B-9397-08002B2CF9AE}" pid="4" name="KSOTemplateDocerSaveRecord">
    <vt:lpwstr>eyJoZGlkIjoiYjVlZmZlYzNjOGIwZWYzMjI5NmQ4ZTRkM2I2MjNiMmUiLCJ1c2VySWQiOiIyMzY4MDAyNzEifQ==</vt:lpwstr>
  </property>
</Properties>
</file>